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Impfen und Impfpraevention</w:t>
      </w:r>
    </w:p>
    <w:p>
      <w:r>
        <w:rPr>
          <w:i/>
          <w:color w:val="666666"/>
          <w:sz w:val="18"/>
        </w:rPr>
        <w:t>Stand: 08.10.2026  |  6 Studien  |  impfen.m-vf.de</w:t>
      </w:r>
    </w:p>
    <w:p>
      <w:pPr>
        <w:pStyle w:val="Heading1"/>
      </w:pPr>
      <w:r>
        <w:t>Aufgenommen am 08.10.2026</w:t>
      </w:r>
    </w:p>
    <w:p>
      <w:pPr>
        <w:pStyle w:val="Heading2"/>
      </w:pPr>
      <w:r>
        <w:t>Impfskepsis gegen COVID-19-Booster clustert in Haushalten und Gemeinden – China</w:t>
      </w:r>
    </w:p>
    <w:p>
      <w:r>
        <w:rPr>
          <w:i/>
          <w:color w:val="666666"/>
          <w:sz w:val="18"/>
        </w:rPr>
        <w:t>Zhang Y et al.  ·  JMIR Public Health Surveill  ·  07.10.2026  ·  PMID 42842944</w:t>
      </w:r>
    </w:p>
    <w:p>
      <w:r>
        <w:t>Haushaltsbasierte Querschnittsbefragung zur Clusterung von Vaccine Hesitancy gegenüber COVID-19-Booster-Impfung nach individuellen, Haushalts- und Gemeinde-Ebenen.</w:t>
      </w:r>
    </w:p>
    <w:p>
      <w:r>
        <w:rPr>
          <w:b/>
        </w:rPr>
        <w:t xml:space="preserve">Ergebnis: </w:t>
      </w:r>
      <w:r>
        <w:t>27,0 % zeigten gleichzeitige Hesitancy bei aktuellen und zukünftigen Booster-Absichten; 77,73 % der Varianz waren auf Haushalts- und Gemeinde-Ebene zurückzuführen; Selbstwirksamkeit und vorherige COVID-19-Impfung waren stärkste Schutzfaktoren gegen Hesitancy.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soziales Clustern; Mechanismen für haushalts- und gemeindebasierte Interventionen gelten international.</w:t>
      </w:r>
    </w:p>
    <w:p>
      <w:r>
        <w:rPr>
          <w:color w:val="5A7D3A"/>
          <w:sz w:val="18"/>
        </w:rPr>
        <w:t>https://pubmed.ncbi.nlm.nih.gov/42842944/</w:t>
      </w:r>
    </w:p>
    <w:p>
      <w:pPr>
        <w:pStyle w:val="Heading2"/>
      </w:pPr>
      <w:r>
        <w:t>Herpes-zoster-Impfung an Zahlungsbarriere gescheitert – Intention-Verhalten-Lücke in Taiwan</w:t>
      </w:r>
    </w:p>
    <w:p>
      <w:r>
        <w:rPr>
          <w:i/>
          <w:color w:val="666666"/>
          <w:sz w:val="18"/>
        </w:rPr>
        <w:t>Liou FY et al.  ·  Hum Vaccin Immunother  ·  07.10.2026  ·  PMID 42842236</w:t>
      </w:r>
    </w:p>
    <w:p>
      <w:r>
        <w:t>Nationale Querschnittsumfrage zu Determinanten der Herpes-zoster-Impfung in einem System ohne universelle Kostenübernahme.</w:t>
      </w:r>
    </w:p>
    <w:p>
      <w:r>
        <w:rPr>
          <w:b/>
        </w:rPr>
        <w:t xml:space="preserve">Ergebnis: </w:t>
      </w:r>
      <w:r>
        <w:t>16,6 % waren geimpft; 80,9 % der Ungeimpften zeigten Impfbereitschaft; Preis war das Haupthindernis – Zahlungsbereitschaft lag unter Marktpreis (USD 32,80 vs. Marktpreis), aber Bewusstsein für Subventionsprogramme verdoppelte Impfodds (OR: 2,30).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Selbstzahlermodell nicht übertragbar; Befunde zu Affordability-Barrieren bei Erwachsenenimpfungen relevant.</w:t>
      </w:r>
    </w:p>
    <w:p>
      <w:r>
        <w:rPr>
          <w:color w:val="5A7D3A"/>
          <w:sz w:val="18"/>
        </w:rPr>
        <w:t>https://pubmed.ncbi.nlm.nih.gov/42842236/</w:t>
      </w:r>
    </w:p>
    <w:p>
      <w:pPr>
        <w:pStyle w:val="Heading2"/>
      </w:pPr>
      <w:r>
        <w:t>Tetanus-Impfbereitschaft nach Trauma hängt von praktischer Zugänglichkeit ab – China</w:t>
      </w:r>
    </w:p>
    <w:p>
      <w:r>
        <w:rPr>
          <w:i/>
          <w:color w:val="666666"/>
          <w:sz w:val="18"/>
        </w:rPr>
        <w:t>Fang Q et al.  ·  Front Public Health  ·  21.09.2026  ·  PMID 42835057</w:t>
      </w:r>
    </w:p>
    <w:p>
      <w:r>
        <w:t>Querschnittsstudie zur Impfbereitschaft gegen Tetanus nach Traumata mit Verhaltensfaktoren und Zugangshürden (BeSD-Rahmen).</w:t>
      </w:r>
    </w:p>
    <w:p>
      <w:r>
        <w:rPr>
          <w:b/>
        </w:rPr>
        <w:t xml:space="preserve">Ergebnis: </w:t>
      </w:r>
      <w:r>
        <w:t>51,9 % zeigten Impfbereitschaft; praktische Zugänglichkeit zeigte stärkste Assoziation mit Impfintention (strukturelle Gleichungsmodellierung); nur 19,2 % der angezeigten Patienten erhielten dokumentiert Impfung innerhalb von 7 Tagen – obwohl 80,6 % grundsätzlich angezeigt waren.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China; Befunde zu Zugangsbarrieren beim Post-Expositions-Impfen übertragbar.</w:t>
      </w:r>
    </w:p>
    <w:p>
      <w:r>
        <w:rPr>
          <w:color w:val="5A7D3A"/>
          <w:sz w:val="18"/>
        </w:rPr>
        <w:t>https://pubmed.ncbi.nlm.nih.gov/42835057/</w:t>
      </w:r>
    </w:p>
    <w:p>
      <w:pPr>
        <w:pStyle w:val="Heading2"/>
      </w:pPr>
      <w:r>
        <w:t>COVID-19-Impfung bei südafrikanischen Jugendlichen: Alter, Haushaltskontext und Pandemie-Nähe treiben Quote</w:t>
      </w:r>
    </w:p>
    <w:p>
      <w:r>
        <w:rPr>
          <w:i/>
          <w:color w:val="666666"/>
          <w:sz w:val="18"/>
        </w:rPr>
        <w:t>Dietrich JJ et al.  ·  Glob Health Action  ·  06.10.2026  ·  PMID 42834877</w:t>
      </w:r>
    </w:p>
    <w:p>
      <w:r>
        <w:t>Online-Querschnittsbefragung zu Prädiktoren der COVID-19-Impfung bei Jugendlichen (18–24 Jahre) in eThekwini, Südafrika.</w:t>
      </w:r>
    </w:p>
    <w:p>
      <w:r>
        <w:rPr>
          <w:b/>
        </w:rPr>
        <w:t xml:space="preserve">Ergebnis: </w:t>
      </w:r>
      <w:r>
        <w:t>37,9 % waren geimpft; älteres Alter, Zusammenleben mit Senioren und persönliche Nähe zu schweren COVID-19-Verläufen (Krankenhausaufenthalte/Todesfälle im Umfeld) waren unabhängige Prädiktoren; geschlechtsspezifische Unterschiede bei Ethnizität und Familienstand.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Südafrika, hohes Einkommensgefälle; Befunde zu sozialen Determinanten und Pandemie-Proximität international relevant.</w:t>
      </w:r>
    </w:p>
    <w:p>
      <w:r>
        <w:rPr>
          <w:color w:val="5A7D3A"/>
          <w:sz w:val="18"/>
        </w:rPr>
        <w:t>https://pubmed.ncbi.nlm.nih.gov/42834877/</w:t>
      </w:r>
    </w:p>
    <w:p>
      <w:pPr>
        <w:pStyle w:val="Heading2"/>
      </w:pPr>
      <w:r>
        <w:t>HPV-Impfung bei Erwachsenen (27–45 Jahre) bleibt selten – USA</w:t>
      </w:r>
    </w:p>
    <w:p>
      <w:r>
        <w:rPr>
          <w:i/>
          <w:color w:val="666666"/>
          <w:sz w:val="18"/>
        </w:rPr>
        <w:t>Jiang R et al.  ·  Hum Vaccin Immunother  ·  05.10.2026  ·  PMID 42834027</w:t>
      </w:r>
    </w:p>
    <w:p>
      <w:r>
        <w:t>Nationale Querschnittserhebung zur HPV-Impfquote bei Erwachsenen vor und nach COVID-19 anhand von NHIS-Daten.</w:t>
      </w:r>
    </w:p>
    <w:p>
      <w:r>
        <w:rPr>
          <w:b/>
        </w:rPr>
        <w:t xml:space="preserve">Ergebnis: </w:t>
      </w:r>
      <w:r>
        <w:t>Quote stieg von 15,1 % (2019) auf 20,7 % (2022); nur 1,43 % initiierten Impfung zwischen 27 und 45 Jahren; Alter, männliches Geschlecht, niedrigere Bildung und fehlende regelmäßige Versorgungsstelle waren mit niedrigerer Quote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USA; Befunde zu Barrieren bei Catch-up-Impfung Erwachsener, nicht zu Kindheit relevant.</w:t>
      </w:r>
    </w:p>
    <w:p>
      <w:r>
        <w:rPr>
          <w:color w:val="5A7D3A"/>
          <w:sz w:val="18"/>
        </w:rPr>
        <w:t>https://pubmed.ncbi.nlm.nih.gov/42834027/</w:t>
      </w:r>
    </w:p>
    <w:p>
      <w:pPr>
        <w:pStyle w:val="Heading2"/>
      </w:pPr>
      <w:r>
        <w:t>Schottische Impfquoten blieben in der Pandemie stabil – Ungleichheiten bestehen fort</w:t>
      </w:r>
    </w:p>
    <w:p>
      <w:r>
        <w:rPr>
          <w:i/>
          <w:color w:val="666666"/>
          <w:sz w:val="18"/>
        </w:rPr>
        <w:t>Smith CD et al.  ·  Public Health  ·  13.08.2026  ·  PMID 42594547</w:t>
      </w:r>
    </w:p>
    <w:p>
      <w:r>
        <w:t>Bevölkerungsbasierte Kohortenstudie zu Routineimpfungen bei Kleinkindern in Schottland vor und während COVID-19.</w:t>
      </w:r>
    </w:p>
    <w:p>
      <w:r>
        <w:rPr>
          <w:b/>
        </w:rPr>
        <w:t xml:space="preserve">Ergebnis: </w:t>
      </w:r>
      <w:r>
        <w:t>Impfquoten für fünf von sechs Vakzinen blieben stabil oder stiegen während der Pandemie; Unterschiede nach Deprivation und ethnischer Herkunft verschärften sich nicht, aber bestandene Ungleichheiten persistierten.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Schottisches Impfregister, vergleichbares Sozialsystem mit Deutschland.</w:t>
      </w:r>
    </w:p>
    <w:p>
      <w:r>
        <w:rPr>
          <w:color w:val="5A7D3A"/>
          <w:sz w:val="18"/>
        </w:rPr>
        <w:t>https://pubmed.ncbi.nlm.nih.gov/42594547/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Impfen und Impfpraevention</dc:title>
  <dc:subject/>
  <dc:creator>Monitor Versorgungsforschung</dc:creator>
  <cp:keywords/>
  <dc:description>generated by python-docx</dc:description>
  <cp:lastModifiedBy/>
  <cp:revision>1</cp:revision>
  <dcterms:created xsi:type="dcterms:W3CDTF">2026-10-08T06:00:00Z</dcterms:created>
  <dcterms:modified xsi:type="dcterms:W3CDTF">2026-10-08T06:00:00Z</dcterms:modified>
  <cp:category/>
</cp:coreProperties>
</file>