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30.10.2026  |  7 Studien  |  impfen.m-vf.de</w:t>
      </w:r>
    </w:p>
    <w:p>
      <w:pPr>
        <w:pStyle w:val="Heading1"/>
      </w:pPr>
      <w:r>
        <w:t>Aufgenommen am 30.10.2026</w:t>
      </w:r>
    </w:p>
    <w:p>
      <w:pPr>
        <w:pStyle w:val="Heading2"/>
      </w:pPr>
      <w:r>
        <w:t>Impfquoten und Abbruchquoten bei Kindern in Ghana: Prädiktoren für lückenlose Immunisierung</w:t>
      </w:r>
    </w:p>
    <w:p>
      <w:r>
        <w:rPr>
          <w:i/>
          <w:color w:val="666666"/>
          <w:sz w:val="18"/>
        </w:rPr>
        <w:t>Konlan M et al.  ·  Hum Vaccin Immunother  ·  29.10.2026  ·  PMID 42956266</w:t>
      </w:r>
    </w:p>
    <w:p>
      <w:r>
        <w:t>Eine Querschnittstudie mit 3.371 Kindern (0–59 Monate) in zwei Bezirken Nordghanas untersuchte Impfquoten, Dropout-Raten und Vorhersagefaktoren für einen vollständigen Impfplan.</w:t>
      </w:r>
    </w:p>
    <w:p>
      <w:r>
        <w:rPr>
          <w:b/>
        </w:rPr>
        <w:t xml:space="preserve">Ergebnis: </w:t>
      </w:r>
      <w:r>
        <w:t>OPV0-Abdeckung betrug 44,2–50,5% (deutlich unter BCG mit 93,6–98,0%), Penta-Reihe fiel von 96% (Dosis 1) auf 88% (Dosis 3), Rotavirus-Dosis-3-Quote nur 40,5–44,0%. Dropout-Raten blieben unter 10%. Geburtsort, Alter und Betreuerperson waren signifikante Vorhersagefaktoren für vollständige Impfung. Die Studie identifiziert Geburtsdosis und Zweijahres-Impfstoffe als Engpässe.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Ghana, nationale Dokumentationsdaten – Lücken bei Geburts- und Nachfolgedosen relevant für alle ressourcenlimitierten Settings</w:t>
      </w:r>
    </w:p>
    <w:p>
      <w:r>
        <w:rPr>
          <w:color w:val="5A7D3A"/>
          <w:sz w:val="18"/>
        </w:rPr>
        <w:t>https://pubmed.ncbi.nlm.nih.gov/42956266/</w:t>
      </w:r>
    </w:p>
    <w:p>
      <w:pPr>
        <w:pStyle w:val="Heading2"/>
      </w:pPr>
      <w:r>
        <w:t>Gelbfieber-17D-Impfung: Langfristige T-Zell-Immunität über Jahre nachgewiesen</w:t>
      </w:r>
    </w:p>
    <w:p>
      <w:r>
        <w:rPr>
          <w:i/>
          <w:color w:val="666666"/>
          <w:sz w:val="18"/>
        </w:rPr>
        <w:t>Camara OL et al.  ·  Front Immunol  ·  14.10.2026  ·  PMID 42952850</w:t>
      </w:r>
    </w:p>
    <w:p>
      <w:r>
        <w:t>Eine systematische PRISMA-2020-konforme Übersicht (36 Studien, 2000–2025) fasste Evidenz zu Ausmaß, Kinetik und funktioneller Charakterisierung der CD8+-Memory- und CD4+-T-Zellantworten nach Gelbfieber-17D-Vakzin-Impfung zusammen.</w:t>
      </w:r>
    </w:p>
    <w:p>
      <w:r>
        <w:rPr>
          <w:b/>
        </w:rPr>
        <w:t xml:space="preserve">Ergebnis: </w:t>
      </w:r>
      <w:r>
        <w:t>Primärimpfung induziert schnelle CD8+-T-Zell-Aktivierung, die sich in langlebige Memory-Populationen über Jahre bis Jahrzehnte differenziert. CD4+-Antworten waren breit und funktionell vielfältig, T-Follikel-Helferzellen (Tfh) korrelieren mit Neutralisierungs-Antikörper-Entwicklung. Auffrischimpfungen zeigten schwächere zelluläre Reaktionen als Primärimpfung. Definitive Evidenz zur Korrelation von T-Zellen mit klinischem Langzeitschutz bleibt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 Übersicht zu etabliertem Impfstoff, keine Populationsdaten – relevant für Verständnis von Langzeitimmunität nach Lebendimpfstoffen</w:t>
      </w:r>
    </w:p>
    <w:p>
      <w:r>
        <w:rPr>
          <w:color w:val="5A7D3A"/>
          <w:sz w:val="18"/>
        </w:rPr>
        <w:t>https://pubmed.ncbi.nlm.nih.gov/42952850/</w:t>
      </w:r>
    </w:p>
    <w:p>
      <w:pPr>
        <w:pStyle w:val="Heading2"/>
      </w:pPr>
      <w:r>
        <w:t>Elternbildung und Impfbereitschaft: Rolle von Einkommen und Vertrauen</w:t>
      </w:r>
    </w:p>
    <w:p>
      <w:r>
        <w:rPr>
          <w:i/>
          <w:color w:val="666666"/>
          <w:sz w:val="18"/>
        </w:rPr>
        <w:t>Xie L et al.  ·  Front Public Health  ·  14.10.2026  ·  PMID 42952823</w:t>
      </w:r>
    </w:p>
    <w:p>
      <w:r>
        <w:t>Eine Befragung von 2.212 Haushalten in Hangzhou (China) analysierte, wie Elternbildung, Familieneinkommen, Impfbewusstsein und Vertrauen die Bereitschaft beeinflussen, selbstgezahlte Impfstoffe (Pentavalenz, EV71, Varicella, Influenza) zu kaufen.</w:t>
      </w:r>
    </w:p>
    <w:p>
      <w:r>
        <w:rPr>
          <w:b/>
        </w:rPr>
        <w:t xml:space="preserve">Ergebnis: </w:t>
      </w:r>
      <w:r>
        <w:t>Familieneinkommen war ein wichtiger Vermittler zwischen Elternbildung und Impfbereitschaft, besonders für Grippeimpfstoff (RR 3,52) und Varicella-Impfstoff. Nach Einführung des Einkommens wurde die Assoziation zwischen Bildung und Bereitschaft abgeschwächt. Für Pentavalenz spielten auch Impfbewusstsein und Vertrauen eine Rolle. Nicht-wirtschaftliche Faktoren wie Vertrauen sollten parallel adressiert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Middle-Income-Land – Zeigt, dass Preis- und Vertrauensbarrieren zusammen wirken, relevant für Versorgungsdesign</w:t>
      </w:r>
    </w:p>
    <w:p>
      <w:r>
        <w:rPr>
          <w:color w:val="5A7D3A"/>
          <w:sz w:val="18"/>
        </w:rPr>
        <w:t>https://pubmed.ncbi.nlm.nih.gov/42952823/</w:t>
      </w:r>
    </w:p>
    <w:p>
      <w:pPr>
        <w:pStyle w:val="Heading2"/>
      </w:pPr>
      <w:r>
        <w:t>Dengvaxia-Einzeldosis bei seronegativ exponierten Kindern: 45% Schutzwirkung im ersten Jahr</w:t>
      </w:r>
    </w:p>
    <w:p>
      <w:r>
        <w:rPr>
          <w:i/>
          <w:color w:val="666666"/>
          <w:sz w:val="18"/>
        </w:rPr>
        <w:t>Abad Fernandez M et al.  ·  Front Immunol  ·  14.10.2026  ·  PMID 42952807</w:t>
      </w:r>
    </w:p>
    <w:p>
      <w:r>
        <w:t>Eine prospektive Kohortenstudie an 186 seronegativ exponierten Kindern in den Philippinen (114 geimpft mit Dengvaxia, 72 ungeimpft) verfolgte Vaccine-induzierte Immunität und Wildtyp-Infektionsrisiko über 40 Monate.</w:t>
      </w:r>
    </w:p>
    <w:p>
      <w:r>
        <w:rPr>
          <w:b/>
        </w:rPr>
        <w:t xml:space="preserve">Ergebnis: </w:t>
      </w:r>
      <w:r>
        <w:t>Bei T1 (20 Monate): 61% Impfresponder; Impfeffektivität gegen WT-DENV-Infektion VE=45%. Im zweiten Beobachtungszeitraum (T1–T2, bis Monat 40) kein Unterschied in Infektionsrisiko zwischen Gruppen. Nach Durchbruchinfektion im ersten Zeitraum entwickelten Geimpfte breitere Antikörper-Reaktionen als Ungeimpfte. Diese Unterschiede verschwanden im zweiten Zeitraum.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Philippinen, Langzeitkohortendaten zu Feldeffektivität – zeigt zeitlich begrenzte Schutzwirkung nach Einzeldosis bei seronegativ exponierten Kindern</w:t>
      </w:r>
    </w:p>
    <w:p>
      <w:r>
        <w:rPr>
          <w:color w:val="5A7D3A"/>
          <w:sz w:val="18"/>
        </w:rPr>
        <w:t>https://pubmed.ncbi.nlm.nih.gov/42952807/</w:t>
      </w:r>
    </w:p>
    <w:p>
      <w:pPr>
        <w:pStyle w:val="Heading2"/>
      </w:pPr>
      <w:r>
        <w:t>COVID-19-mRNA-Impfstoff in HIV-Patienten: CD4+-T-Zell-Antwort ist Schutzfaktor</w:t>
      </w:r>
    </w:p>
    <w:p>
      <w:r>
        <w:rPr>
          <w:i/>
          <w:color w:val="666666"/>
          <w:sz w:val="18"/>
        </w:rPr>
        <w:t>Khuzwayo S et al.  ·  Nat Commun  ·  28.09.2026  ·  PMID 42946742</w:t>
      </w:r>
    </w:p>
    <w:p>
      <w:r>
        <w:t>Eine Fall-Kohorten-Studie (CoVPN 3008) mit 14.002 Teilnehmern (83% HIV+) in Subsahara-Afrika analysierte CD4+-T-Zell-Antworten nach mRNA-1273-Impfung und deren Assoziation mit COVID-19-Infektionsrisiko.</w:t>
      </w:r>
    </w:p>
    <w:p>
      <w:r>
        <w:rPr>
          <w:b/>
        </w:rPr>
        <w:t xml:space="preserve">Ergebnis: </w:t>
      </w:r>
      <w:r>
        <w:t>Bei hybrid-immun (vorheriges SARS-CoV-2) HIV-positiven Patienten: COVID-19-Risiko sank von 15,8% (0,1% Spike BA.4/5-spezifische CD4+-IFN-γ/IL-2) auf 0% (0,3% Responserate). Peak CD4+-T-Zell-Antwort war unabhängiger Schutzfaktor; kombiniert mit Baseline-Neutralisierungs-Antikörpern verstärkt (p&lt;0,001). CD4+-T-Zellantworten relevant auch unter Immundefizienz.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kohortale Populationsdaten – relevant für HIV+-Impfstrategien, übertragbar auf Immunschwache</w:t>
      </w:r>
    </w:p>
    <w:p>
      <w:r>
        <w:rPr>
          <w:color w:val="5A7D3A"/>
          <w:sz w:val="18"/>
        </w:rPr>
        <w:t>https://pubmed.ncbi.nlm.nih.gov/42946742/</w:t>
      </w:r>
    </w:p>
    <w:p>
      <w:pPr>
        <w:pStyle w:val="Heading2"/>
      </w:pPr>
      <w:r>
        <w:t>Herpes-zoster-Impfung: Nebenwirkungsprofil in Querschnitt von 382 Probanden</w:t>
      </w:r>
    </w:p>
    <w:p>
      <w:r>
        <w:rPr>
          <w:i/>
          <w:color w:val="666666"/>
          <w:sz w:val="18"/>
        </w:rPr>
        <w:t>Aldali J et al.  ·  PLoS One  ·  27.10.2026  ·  PMID 42945161</w:t>
      </w:r>
    </w:p>
    <w:p>
      <w:r>
        <w:t>Eine Querschnittsbefragung mit 382 Teilnehmern in Saudi-Arabien (September 2024–August 2025) erfasste Nebenwirkungen nach Herpes-zoster-Vakzin (Zostavax oder Shingrix) in Dose 1 und 2.</w:t>
      </w:r>
    </w:p>
    <w:p>
      <w:r>
        <w:rPr>
          <w:b/>
        </w:rPr>
        <w:t xml:space="preserve">Ergebnis: </w:t>
      </w:r>
      <w:r>
        <w:t>Nach Dosis 1: häufigste Nebenwirkungen Müdigkeit/Kopfschmerz, Injektionsstellen-Schmerz und Schwindel; 29,3% berichteten keine Effekte. Nach Dosis 2: Schüttelfrost, Injektionsstellen-Schmerz, Schwindel; 18,4% keine Effekte. Zostavax-Empfänger zeigten signifikant höhere Schweregrad-Scores als Shingrix nach Dosis 1 (p=0,003) und Dosis 2 (p&lt;0,001). Symptom-Dauer meist 1–2 Tage.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Saudi-Arabien, selbstberichtete Nebenwirkungen – Vergleich rekombinanter (Shingrix) vs. Lebendvakzin (Zostavax) zeigt relevante Verträglichkeitsunterschiede</w:t>
      </w:r>
    </w:p>
    <w:p>
      <w:r>
        <w:rPr>
          <w:color w:val="5A7D3A"/>
          <w:sz w:val="18"/>
        </w:rPr>
        <w:t>https://pubmed.ncbi.nlm.nih.gov/42945161/</w:t>
      </w:r>
    </w:p>
    <w:p>
      <w:pPr>
        <w:pStyle w:val="Heading2"/>
      </w:pPr>
      <w:r>
        <w:t>Postmenopausale Blutungen nach COVID-19-Impfung: Bevölkerungsstudie zeigt kein erhöhtes Risiko</w:t>
      </w:r>
    </w:p>
    <w:p>
      <w:r>
        <w:rPr>
          <w:i/>
          <w:color w:val="666666"/>
          <w:sz w:val="18"/>
        </w:rPr>
        <w:t>Jeong NY et al.  ·  Yonsei Med J  ·  Nov. 2026  ·  PMID 42937145</w:t>
      </w:r>
    </w:p>
    <w:p>
      <w:r>
        <w:t>Eine nationale Population-basierte Selbstkontroll-Fallserie (Korea, KDCA- und NHIS-Daten) verglich Inzidenz postmenopausaler Blutungen, die Krankenhausbehandlung erforderten, in Risiko- versus Baseline-Perioden bei 8,08 Mio. Frauen ≥56 Jahren nach COVID-19-Impfung.</w:t>
      </w:r>
    </w:p>
    <w:p>
      <w:r>
        <w:rPr>
          <w:b/>
        </w:rPr>
        <w:t xml:space="preserve">Ergebnis: </w:t>
      </w:r>
      <w:r>
        <w:t>Unter 8.075.792 Impfempfängerinnen wurden 5.716 mit postmenopausaler Blutung diagnostiziert. Kein signifikanter Anstieg im Risiko 1–30 Tage nach Impfung (IRR 0,98; 95% CI 0,92–1,04). Befunde konsistent in Subgruppen- und Sensitivitätsanalysen über Impfstofftypen, Dosen und Altersgruppen.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nationale Versicherungs- und Registerdaten – hochwertige bevölkerungsbezogene Sicherheitsanalyse mit kontrolliertem Design</w:t>
      </w:r>
    </w:p>
    <w:p>
      <w:r>
        <w:rPr>
          <w:color w:val="5A7D3A"/>
          <w:sz w:val="18"/>
        </w:rPr>
        <w:t>https://pubmed.ncbi.nlm.nih.gov/42937145/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2026-10-30T06:00:00Z</dcterms:created>
  <dcterms:modified xsi:type="dcterms:W3CDTF">2026-10-30T06:00:00Z</dcterms:modified>
  <cp:category/>
</cp:coreProperties>
</file>