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Impfen und Impfpraevention</w:t>
      </w:r>
    </w:p>
    <w:p>
      <w:r>
        <w:rPr>
          <w:i/>
          <w:color w:val="666666"/>
          <w:sz w:val="18"/>
        </w:rPr>
        <w:t>Stand: 13.09.2026  |  6 Studien  |  impfen.m-vf.de</w:t>
      </w:r>
    </w:p>
    <w:p>
      <w:pPr>
        <w:pStyle w:val="Heading1"/>
      </w:pPr>
      <w:r>
        <w:t>Aufgenommen am 13.09.2026</w:t>
      </w:r>
    </w:p>
    <w:p>
      <w:pPr>
        <w:pStyle w:val="Heading2"/>
      </w:pPr>
      <w:r>
        <w:t>Impflücken in Peru: Wissen und Angst beeinflussen Impfvollständigkeit bei Kindern</w:t>
      </w:r>
    </w:p>
    <w:p>
      <w:r>
        <w:rPr>
          <w:i/>
          <w:color w:val="666666"/>
          <w:sz w:val="18"/>
        </w:rPr>
        <w:t>Castro-Fuentes MN et al.  ·  Front Public Health  ·  26.08.2026  ·  PMID 42718735</w:t>
      </w:r>
    </w:p>
    <w:p>
      <w:r>
        <w:t>Querschnittsstudie bei 123 Familien in Sunampe, Peru: Assoziationen zwischen Impflücken bei Kindern unter fünf Jahren und mütterlichen Wahrnehmungen, Wissen und Angst.</w:t>
      </w:r>
    </w:p>
    <w:p>
      <w:r>
        <w:rPr>
          <w:b/>
        </w:rPr>
        <w:t xml:space="preserve">Ergebnis: </w:t>
      </w:r>
      <w:r>
        <w:t>Impfverweigerung (≥3 verpasste Schlüsseldosen bis 6 Monate): signifikante Prädiktoren waren Mangel an Wissen über Impfalter (OR: 10,96; p &lt; 0,001) und Nichtbesuch von Impfberatungssitzungen (OR: 3,32; p = 0,026). Angst vor Nebenwirkungen (99,2 % der Mütter berichteten sie) war nicht signifikant (Hinweis auf Antwortverzerrung). Modell: AUC = 0,852. Todesfälle unter 5 Jahren (2017–2022): 10 Fälle, davon 6 pneumokokkal-assoziierten.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Peru – Befund zu Wissenslücken und Impfpfaden in untermotivierter Bevölkerung auf Deutschland nicht direkt übertragbar, aber qualitativ relevant für Migrationsgruppen</w:t>
      </w:r>
    </w:p>
    <w:p>
      <w:r>
        <w:rPr>
          <w:color w:val="5A7D3A"/>
          <w:sz w:val="18"/>
        </w:rPr>
        <w:t>https://pubmed.ncbi.nlm.nih.gov/42718735/</w:t>
      </w:r>
    </w:p>
    <w:p>
      <w:pPr>
        <w:pStyle w:val="Heading2"/>
      </w:pPr>
      <w:r>
        <w:t>Pneumokokkencolonisierung bei Kindern in Brasilien: Begrenzte Abdeckung durch PCV10</w:t>
      </w:r>
    </w:p>
    <w:p>
      <w:r>
        <w:rPr>
          <w:i/>
          <w:color w:val="666666"/>
          <w:sz w:val="18"/>
        </w:rPr>
        <w:t>Sousa IO et al.  ·  PLoS One  ·  09.09.2026  ·  PMID 42715187</w:t>
      </w:r>
    </w:p>
    <w:p>
      <w:r>
        <w:t>Querschnittstudie bei 400 Kindern (2–5 Jahre) in Salvador, Brasilien: Nasopharyngale Besiedlung mit Streptococcus pneumoniae und Serotypverteilung nach PCV10-GSK-Impfung im brasilianischen Routineprogramm.</w:t>
      </w:r>
    </w:p>
    <w:p>
      <w:r>
        <w:rPr>
          <w:b/>
        </w:rPr>
        <w:t xml:space="preserve">Ergebnis: </w:t>
      </w:r>
      <w:r>
        <w:t>Gesamtbesiedlungsrate: 39,5 %. Häufigste Serotypen: 6C (17,9 %), 19A (13,0 %), 11A (9,3 %). PCV10-GSK deckt nur 3,2 % der Serotypen ab; PCV20 würde 39,5 % abdecken. Penicillinresistenz in 21,8 % der Isolate, am höchsten bei 19A (71,4 %). Befund zeigt Impflücke bei nicht-PCV10-Serotypen trotz Impfung.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Brasilien – Befund zur Serotyp-Abdeckung und Resistenzentwicklung unter Feldimpfung ist grundlegend übertragbar</w:t>
      </w:r>
    </w:p>
    <w:p>
      <w:r>
        <w:rPr>
          <w:color w:val="5A7D3A"/>
          <w:sz w:val="18"/>
        </w:rPr>
        <w:t>https://pubmed.ncbi.nlm.nih.gov/42715187/</w:t>
      </w:r>
    </w:p>
    <w:p>
      <w:pPr>
        <w:pStyle w:val="Heading2"/>
      </w:pPr>
      <w:r>
        <w:t>Pneumococcale Impfung (PCV21) verhindert invasive Erkrankungen bei Erwachsenen in Spanien</w:t>
      </w:r>
    </w:p>
    <w:p>
      <w:r>
        <w:rPr>
          <w:i/>
          <w:color w:val="666666"/>
          <w:sz w:val="18"/>
        </w:rPr>
        <w:t>Simuzingili M et al.  ·  Vaccine  ·  03.10.2026  ·  PMID 42669238</w:t>
      </w:r>
    </w:p>
    <w:p>
      <w:r>
        <w:t>Gesundheitsökonomische Modellstudie in Spanien: Der 21-valente pneumokokkale Konjugatimpfstoff (PCV21) wurde mit PCV20 verglichen hinsichtlich verhinderte IPD-Fälle und vermiedene Kosten.</w:t>
      </w:r>
    </w:p>
    <w:p>
      <w:r>
        <w:rPr>
          <w:b/>
        </w:rPr>
        <w:t xml:space="preserve">Ergebnis: </w:t>
      </w:r>
      <w:r>
        <w:t>Bei 45–64-jährigen: PCV21 verhindert 178 IPD-Fälle mehr und 20 Todesfälle mehr als PCV20; spart 0,7 Mio. EUR (10% Mehrersparnis). Bei ≥65-Jährigen: 2019 IPD-Fälle und 435 Todesfälle mehr verhindert; spart 257 Mio. EUR (25% Mehrersparnis). Beide Altersgruppen: PCV21 war in allen Szenarien kostenwirksam.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Spanien, vergleichbares Versicherungssystem und Epidemiologie wie Deutschland</w:t>
      </w:r>
    </w:p>
    <w:p>
      <w:r>
        <w:rPr>
          <w:color w:val="5A7D3A"/>
          <w:sz w:val="18"/>
        </w:rPr>
        <w:t>https://pubmed.ncbi.nlm.nih.gov/42669238/</w:t>
      </w:r>
    </w:p>
    <w:p>
      <w:pPr>
        <w:pStyle w:val="Heading2"/>
      </w:pPr>
      <w:r>
        <w:t>RSV-Impfung für Neugeborene in Japan: Saisonale vs. ganzjährige Strategie</w:t>
      </w:r>
    </w:p>
    <w:p>
      <w:r>
        <w:rPr>
          <w:i/>
          <w:color w:val="666666"/>
          <w:sz w:val="18"/>
        </w:rPr>
        <w:t>Monoi A et al.  ·  Vaccine  ·  03.10.2026  ·  PMID 42648051</w:t>
      </w:r>
    </w:p>
    <w:p>
      <w:r>
        <w:t>Modellstudie: Vergleich saisonaler und ganzjähriger RSV-Immunisierung von Neugeborenen zur Prävention von Krankenhausaufenthalten.</w:t>
      </w:r>
    </w:p>
    <w:p>
      <w:r>
        <w:rPr>
          <w:b/>
        </w:rPr>
        <w:t xml:space="preserve">Ergebnis: </w:t>
      </w:r>
      <w:r>
        <w:t>Ganzjährige RSVpreF-Impfung: 46 % Reduktion der RSV-Hospitalisierungen (95% UR: 31–65%). Ganzjährig Nirsevimab: 58 % Reduktion (95% UR: 39–79%). Saisonale Programme: bei zeitgerechter Durchführung 56–61 % Reduktion. Effekt stark abhängig von Saisonalitätsprädiktion und logistischen Kapazitäten.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Japan, anderer Kontext – Befund zur Saisonalität und Impfstoffhaltbarkeit aber grundsätzlich übertragbar</w:t>
      </w:r>
    </w:p>
    <w:p>
      <w:r>
        <w:rPr>
          <w:color w:val="5A7D3A"/>
          <w:sz w:val="18"/>
        </w:rPr>
        <w:t>https://pubmed.ncbi.nlm.nih.gov/42648051/</w:t>
      </w:r>
    </w:p>
    <w:p>
      <w:pPr>
        <w:pStyle w:val="Heading2"/>
      </w:pPr>
      <w:r>
        <w:t>Pneumokokken-Impfung bei Erwachsenen mit Diabetes: Verzögerte Aufnahme in Versorgung</w:t>
      </w:r>
    </w:p>
    <w:p>
      <w:r>
        <w:rPr>
          <w:i/>
          <w:color w:val="666666"/>
          <w:sz w:val="18"/>
        </w:rPr>
        <w:t>Lenzi J et al.  ·  Vaccine  ·  03.10.2026  ·  PMID 42612465</w:t>
      </w:r>
    </w:p>
    <w:p>
      <w:r>
        <w:t>Populationsbasierte Kohortenstudie in Romagna (Italien) mit administrativen Daten: Zeitliche Muster und verpasste Impfgelegenheiten der Pneumokokken-Impfung bei Diabetikern über sieben Jahre.</w:t>
      </w:r>
    </w:p>
    <w:p>
      <w:r>
        <w:rPr>
          <w:b/>
        </w:rPr>
        <w:t xml:space="preserve">Ergebnis: </w:t>
      </w:r>
      <w:r>
        <w:t>Durchimpfungsquote stieg von 7,2 % (Jan. 2017) auf 28,0 % (Juni 2024), blieb aber deutlich unter 30 %. In der Inzidenzkohorte: 4,4 % Impfung nach 1 Jahr, 12,6 % nach 3 Jahren, 34,8 % nach 7 Jahren – kein markanter Anstieg unmittelbar nach Diagnose. Fremdländerisches Herkunftsland assoziiiert mit deutlich niedrigerer Aufnahme (OR: 0,52). Muster deutet auf mangelnde Integration in Diabetes-Versorgungspfade hin.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Italien, ähnliches Versicherungssystem; Befund zu Versorgungsintegration auf Deutschland übertragbar</w:t>
      </w:r>
    </w:p>
    <w:p>
      <w:r>
        <w:rPr>
          <w:color w:val="5A7D3A"/>
          <w:sz w:val="18"/>
        </w:rPr>
        <w:t>https://pubmed.ncbi.nlm.nih.gov/42612465/</w:t>
      </w:r>
    </w:p>
    <w:p>
      <w:pPr>
        <w:pStyle w:val="Heading2"/>
      </w:pPr>
      <w:r>
        <w:t>Sicherheit der Lebendimpfstoff-Influenzaimpfung in England: Acht Jahre Pharmakovigilanz</w:t>
      </w:r>
    </w:p>
    <w:p>
      <w:r>
        <w:rPr>
          <w:i/>
          <w:color w:val="666666"/>
          <w:sz w:val="18"/>
        </w:rPr>
        <w:t>Dhanda S et al.  ·  Vaccine  ·  03.10.2026  ·  PMID 42607627</w:t>
      </w:r>
    </w:p>
    <w:p>
      <w:r>
        <w:t>Verbesserte passive Sicherheitsüberwachung (EPSS) des intranasalen Lebendimpfstoffs Fluenz® Tetra bei Kindern über acht Grippesaisons in England, mit Sicherheitsberichtskarten in 38–49 Praxen und 25–50 Schulen pro Saison.</w:t>
      </w:r>
    </w:p>
    <w:p>
      <w:r>
        <w:rPr>
          <w:b/>
        </w:rPr>
        <w:t xml:space="preserve">Ergebnis: </w:t>
      </w:r>
      <w:r>
        <w:t>8753–17.922 Sicherheitsberichtskarten ausgegeben jährlich. Rücklaufquoten: 2015/2016: 1,9 %, sinkend auf 2022/2023: 0,4 %. Rhinorrhö am häufigsten gemeldet (0,1–0,6 %). Schwerwiegende unerwünschte Ereignisse selten. Befund unterstützt positives Nutzen-Risiko-Profil über alle acht Saisons.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Großbritannien, vergleichbare Versorgungsinfrastruktur und Pharmakovigilanz-Standards</w:t>
      </w:r>
    </w:p>
    <w:p>
      <w:r>
        <w:rPr>
          <w:color w:val="5A7D3A"/>
          <w:sz w:val="18"/>
        </w:rPr>
        <w:t>https://pubmed.ncbi.nlm.nih.gov/42607627/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Impfen und Impfpraevention</dc:title>
  <dc:subject/>
  <dc:creator>Monitor Versorgungsforschung</dc:creator>
  <cp:keywords/>
  <dc:description>generated by python-docx</dc:description>
  <cp:lastModifiedBy/>
  <cp:revision>1</cp:revision>
  <dcterms:created xsi:type="dcterms:W3CDTF">2026-09-13T06:00:00Z</dcterms:created>
  <dcterms:modified xsi:type="dcterms:W3CDTF">2026-09-13T06:00:00Z</dcterms:modified>
  <cp:category/>
</cp:coreProperties>
</file>