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Impfen und Impfpraevention</w:t>
      </w:r>
    </w:p>
    <w:p>
      <w:r>
        <w:rPr>
          <w:i/>
          <w:color w:val="666666"/>
          <w:sz w:val="18"/>
        </w:rPr>
        <w:t>Stand: 13.09.2026  |  128 Studien  |  impfen.m-vf.de</w:t>
      </w:r>
    </w:p>
    <w:p>
      <w:pPr>
        <w:pStyle w:val="Heading1"/>
      </w:pPr>
      <w:r>
        <w:t>Aufgenommen am 13.09.2026</w:t>
      </w:r>
    </w:p>
    <w:p>
      <w:pPr>
        <w:pStyle w:val="Heading2"/>
      </w:pPr>
      <w:r>
        <w:t>Impflücken in Peru: Wissen und Angst beeinflussen Impfvollständigkeit bei Kindern</w:t>
      </w:r>
    </w:p>
    <w:p>
      <w:r>
        <w:rPr>
          <w:i/>
          <w:color w:val="666666"/>
          <w:sz w:val="18"/>
        </w:rPr>
        <w:t>Castro-Fuentes MN et al.  ·  Front Public Health  ·  26.08.2026  ·  PMID 42718735</w:t>
      </w:r>
    </w:p>
    <w:p>
      <w:r>
        <w:t>Querschnittsstudie bei 123 Familien in Sunampe, Peru: Assoziationen zwischen Impflücken bei Kindern unter fünf Jahren und mütterlichen Wahrnehmungen, Wissen und Angst.</w:t>
      </w:r>
    </w:p>
    <w:p>
      <w:r>
        <w:rPr>
          <w:b/>
        </w:rPr>
        <w:t xml:space="preserve">Ergebnis: </w:t>
      </w:r>
      <w:r>
        <w:t>Impfverweigerung (≥3 verpasste Schlüsseldosen bis 6 Monate): signifikante Prädiktoren waren Mangel an Wissen über Impfalter (OR: 10,96; p &lt; 0,001) und Nichtbesuch von Impfberatungssitzungen (OR: 3,32; p = 0,026). Angst vor Nebenwirkungen (99,2 % der Mütter berichteten sie) war nicht signifikant (Hinweis auf Antwortverzerrung). Modell: AUC = 0,852. Todesfälle unter 5 Jahren (2017–2022): 10 Fälle, davon 6 pneumokokkal-assoziierten.</w:t>
      </w:r>
    </w:p>
    <w:p>
      <w:r>
        <w:rPr>
          <w:b/>
          <w:sz w:val="19"/>
        </w:rPr>
        <w:t xml:space="preserve">Übertragbarkeit: </w:t>
      </w:r>
      <w:r>
        <w:rPr>
          <w:sz w:val="19"/>
        </w:rPr>
        <w:t>Peru – Befund zu Wissenslücken und Impfpfaden in untermotivierter Bevölkerung auf Deutschland nicht direkt übertragbar, aber qualitativ relevant für Migrationsgruppen</w:t>
      </w:r>
    </w:p>
    <w:p>
      <w:r>
        <w:rPr>
          <w:color w:val="5A7D3A"/>
          <w:sz w:val="18"/>
        </w:rPr>
        <w:t>https://pubmed.ncbi.nlm.nih.gov/42718735/</w:t>
      </w:r>
    </w:p>
    <w:p>
      <w:pPr>
        <w:pStyle w:val="Heading2"/>
      </w:pPr>
      <w:r>
        <w:t>Pneumokokkencolonisierung bei Kindern in Brasilien: Begrenzte Abdeckung durch PCV10</w:t>
      </w:r>
    </w:p>
    <w:p>
      <w:r>
        <w:rPr>
          <w:i/>
          <w:color w:val="666666"/>
          <w:sz w:val="18"/>
        </w:rPr>
        <w:t>Sousa IO et al.  ·  PLoS One  ·  09.09.2026  ·  PMID 42715187</w:t>
      </w:r>
    </w:p>
    <w:p>
      <w:r>
        <w:t>Querschnittstudie bei 400 Kindern (2–5 Jahre) in Salvador, Brasilien: Nasopharyngale Besiedlung mit Streptococcus pneumoniae und Serotypverteilung nach PCV10-GSK-Impfung im brasilianischen Routineprogramm.</w:t>
      </w:r>
    </w:p>
    <w:p>
      <w:r>
        <w:rPr>
          <w:b/>
        </w:rPr>
        <w:t xml:space="preserve">Ergebnis: </w:t>
      </w:r>
      <w:r>
        <w:t>Gesamtbesiedlungsrate: 39,5 %. Häufigste Serotypen: 6C (17,9 %), 19A (13,0 %), 11A (9,3 %). PCV10-GSK deckt nur 3,2 % der Serotypen ab; PCV20 würde 39,5 % abdecken. Penicillinresistenz in 21,8 % der Isolate, am höchsten bei 19A (71,4 %). Befund zeigt Impflücke bei nicht-PCV10-Serotypen trotz Impfung.</w:t>
      </w:r>
    </w:p>
    <w:p>
      <w:r>
        <w:rPr>
          <w:b/>
          <w:sz w:val="19"/>
        </w:rPr>
        <w:t xml:space="preserve">Übertragbarkeit: </w:t>
      </w:r>
      <w:r>
        <w:rPr>
          <w:sz w:val="19"/>
        </w:rPr>
        <w:t>Brasilien – Befund zur Serotyp-Abdeckung und Resistenzentwicklung unter Feldimpfung ist grundlegend übertragbar</w:t>
      </w:r>
    </w:p>
    <w:p>
      <w:r>
        <w:rPr>
          <w:color w:val="5A7D3A"/>
          <w:sz w:val="18"/>
        </w:rPr>
        <w:t>https://pubmed.ncbi.nlm.nih.gov/42715187/</w:t>
      </w:r>
    </w:p>
    <w:p>
      <w:pPr>
        <w:pStyle w:val="Heading2"/>
      </w:pPr>
      <w:r>
        <w:t>Pneumococcale Impfung (PCV21) verhindert invasive Erkrankungen bei Erwachsenen in Spanien</w:t>
      </w:r>
    </w:p>
    <w:p>
      <w:r>
        <w:rPr>
          <w:i/>
          <w:color w:val="666666"/>
          <w:sz w:val="18"/>
        </w:rPr>
        <w:t>Simuzingili M et al.  ·  Vaccine  ·  03.10.2026  ·  PMID 42669238</w:t>
      </w:r>
    </w:p>
    <w:p>
      <w:r>
        <w:t>Gesundheitsökonomische Modellstudie in Spanien: Der 21-valente pneumokokkale Konjugatimpfstoff (PCV21) wurde mit PCV20 verglichen hinsichtlich verhinderte IPD-Fälle und vermiedene Kosten.</w:t>
      </w:r>
    </w:p>
    <w:p>
      <w:r>
        <w:rPr>
          <w:b/>
        </w:rPr>
        <w:t xml:space="preserve">Ergebnis: </w:t>
      </w:r>
      <w:r>
        <w:t>Bei 45–64-jährigen: PCV21 verhindert 178 IPD-Fälle mehr und 20 Todesfälle mehr als PCV20; spart 0,7 Mio. EUR (10% Mehrersparnis). Bei ≥65-Jährigen: 2019 IPD-Fälle und 435 Todesfälle mehr verhindert; spart 257 Mio. EUR (25% Mehrersparnis). Beide Altersgruppen: PCV21 war in allen Szenarien kostenwirksam.</w:t>
      </w:r>
    </w:p>
    <w:p>
      <w:r>
        <w:rPr>
          <w:b/>
          <w:sz w:val="19"/>
        </w:rPr>
        <w:t xml:space="preserve">Übertragbarkeit: </w:t>
      </w:r>
      <w:r>
        <w:rPr>
          <w:sz w:val="19"/>
        </w:rPr>
        <w:t>Spanien, vergleichbares Versicherungssystem und Epidemiologie wie Deutschland</w:t>
      </w:r>
    </w:p>
    <w:p>
      <w:r>
        <w:rPr>
          <w:color w:val="5A7D3A"/>
          <w:sz w:val="18"/>
        </w:rPr>
        <w:t>https://pubmed.ncbi.nlm.nih.gov/42669238/</w:t>
      </w:r>
    </w:p>
    <w:p>
      <w:pPr>
        <w:pStyle w:val="Heading2"/>
      </w:pPr>
      <w:r>
        <w:t>RSV-Impfung für Neugeborene in Japan: Saisonale vs. ganzjährige Strategie</w:t>
      </w:r>
    </w:p>
    <w:p>
      <w:r>
        <w:rPr>
          <w:i/>
          <w:color w:val="666666"/>
          <w:sz w:val="18"/>
        </w:rPr>
        <w:t>Monoi A et al.  ·  Vaccine  ·  03.10.2026  ·  PMID 42648051</w:t>
      </w:r>
    </w:p>
    <w:p>
      <w:r>
        <w:t>Modellstudie: Vergleich saisonaler und ganzjähriger RSV-Immunisierung von Neugeborenen zur Prävention von Krankenhausaufenthalten.</w:t>
      </w:r>
    </w:p>
    <w:p>
      <w:r>
        <w:rPr>
          <w:b/>
        </w:rPr>
        <w:t xml:space="preserve">Ergebnis: </w:t>
      </w:r>
      <w:r>
        <w:t>Ganzjährige RSVpreF-Impfung: 46 % Reduktion der RSV-Hospitalisierungen (95% UR: 31–65%). Ganzjährig Nirsevimab: 58 % Reduktion (95% UR: 39–79%). Saisonale Programme: bei zeitgerechter Durchführung 56–61 % Reduktion. Effekt stark abhängig von Saisonalitätsprädiktion und logistischen Kapazitäten.</w:t>
      </w:r>
    </w:p>
    <w:p>
      <w:r>
        <w:rPr>
          <w:b/>
          <w:sz w:val="19"/>
        </w:rPr>
        <w:t xml:space="preserve">Übertragbarkeit: </w:t>
      </w:r>
      <w:r>
        <w:rPr>
          <w:sz w:val="19"/>
        </w:rPr>
        <w:t>Japan, anderer Kontext – Befund zur Saisonalität und Impfstoffhaltbarkeit aber grundsätzlich übertragbar</w:t>
      </w:r>
    </w:p>
    <w:p>
      <w:r>
        <w:rPr>
          <w:color w:val="5A7D3A"/>
          <w:sz w:val="18"/>
        </w:rPr>
        <w:t>https://pubmed.ncbi.nlm.nih.gov/42648051/</w:t>
      </w:r>
    </w:p>
    <w:p>
      <w:pPr>
        <w:pStyle w:val="Heading2"/>
      </w:pPr>
      <w:r>
        <w:t>Pneumokokken-Impfung bei Erwachsenen mit Diabetes: Verzögerte Aufnahme in Versorgung</w:t>
      </w:r>
    </w:p>
    <w:p>
      <w:r>
        <w:rPr>
          <w:i/>
          <w:color w:val="666666"/>
          <w:sz w:val="18"/>
        </w:rPr>
        <w:t>Lenzi J et al.  ·  Vaccine  ·  03.10.2026  ·  PMID 42612465</w:t>
      </w:r>
    </w:p>
    <w:p>
      <w:r>
        <w:t>Populationsbasierte Kohortenstudie in Romagna (Italien) mit administrativen Daten: Zeitliche Muster und verpasste Impfgelegenheiten der Pneumokokken-Impfung bei Diabetikern über sieben Jahre.</w:t>
      </w:r>
    </w:p>
    <w:p>
      <w:r>
        <w:rPr>
          <w:b/>
        </w:rPr>
        <w:t xml:space="preserve">Ergebnis: </w:t>
      </w:r>
      <w:r>
        <w:t>Durchimpfungsquote stieg von 7,2 % (Jan. 2017) auf 28,0 % (Juni 2024), blieb aber deutlich unter 30 %. In der Inzidenzkohorte: 4,4 % Impfung nach 1 Jahr, 12,6 % nach 3 Jahren, 34,8 % nach 7 Jahren – kein markanter Anstieg unmittelbar nach Diagnose. Fremdländerisches Herkunftsland assoziiiert mit deutlich niedrigerer Aufnahme (OR: 0,52). Muster deutet auf mangelnde Integration in Diabetes-Versorgungspfade hin.</w:t>
      </w:r>
    </w:p>
    <w:p>
      <w:r>
        <w:rPr>
          <w:b/>
          <w:sz w:val="19"/>
        </w:rPr>
        <w:t xml:space="preserve">Übertragbarkeit: </w:t>
      </w:r>
      <w:r>
        <w:rPr>
          <w:sz w:val="19"/>
        </w:rPr>
        <w:t>Italien, ähnliches Versicherungssystem; Befund zu Versorgungsintegration auf Deutschland übertragbar</w:t>
      </w:r>
    </w:p>
    <w:p>
      <w:r>
        <w:rPr>
          <w:color w:val="5A7D3A"/>
          <w:sz w:val="18"/>
        </w:rPr>
        <w:t>https://pubmed.ncbi.nlm.nih.gov/42612465/</w:t>
      </w:r>
    </w:p>
    <w:p>
      <w:pPr>
        <w:pStyle w:val="Heading2"/>
      </w:pPr>
      <w:r>
        <w:t>Sicherheit der Lebendimpfstoff-Influenzaimpfung in England: Acht Jahre Pharmakovigilanz</w:t>
      </w:r>
    </w:p>
    <w:p>
      <w:r>
        <w:rPr>
          <w:i/>
          <w:color w:val="666666"/>
          <w:sz w:val="18"/>
        </w:rPr>
        <w:t>Dhanda S et al.  ·  Vaccine  ·  03.10.2026  ·  PMID 42607627</w:t>
      </w:r>
    </w:p>
    <w:p>
      <w:r>
        <w:t>Verbesserte passive Sicherheitsüberwachung (EPSS) des intranasalen Lebendimpfstoffs Fluenz® Tetra bei Kindern über acht Grippesaisons in England, mit Sicherheitsberichtskarten in 38–49 Praxen und 25–50 Schulen pro Saison.</w:t>
      </w:r>
    </w:p>
    <w:p>
      <w:r>
        <w:rPr>
          <w:b/>
        </w:rPr>
        <w:t xml:space="preserve">Ergebnis: </w:t>
      </w:r>
      <w:r>
        <w:t>8753–17.922 Sicherheitsberichtskarten ausgegeben jährlich. Rücklaufquoten: 2015/2016: 1,9 %, sinkend auf 2022/2023: 0,4 %. Rhinorrhö am häufigsten gemeldet (0,1–0,6 %). Schwerwiegende unerwünschte Ereignisse selten. Befund unterstützt positives Nutzen-Risiko-Profil über alle acht Saisons.</w:t>
      </w:r>
    </w:p>
    <w:p>
      <w:r>
        <w:rPr>
          <w:b/>
          <w:sz w:val="19"/>
        </w:rPr>
        <w:t xml:space="preserve">Übertragbarkeit: </w:t>
      </w:r>
      <w:r>
        <w:rPr>
          <w:sz w:val="19"/>
        </w:rPr>
        <w:t>Großbritannien, vergleichbare Versorgungsinfrastruktur und Pharmakovigilanz-Standards</w:t>
      </w:r>
    </w:p>
    <w:p>
      <w:r>
        <w:rPr>
          <w:color w:val="5A7D3A"/>
          <w:sz w:val="18"/>
        </w:rPr>
        <w:t>https://pubmed.ncbi.nlm.nih.gov/42607627/</w:t>
      </w:r>
    </w:p>
    <w:p>
      <w:pPr>
        <w:pStyle w:val="Heading1"/>
      </w:pPr>
      <w:r>
        <w:t>Aufgenommen am 12.09.2026</w:t>
      </w:r>
    </w:p>
    <w:p>
      <w:pPr>
        <w:pStyle w:val="Heading2"/>
      </w:pPr>
      <w:r>
        <w:t>COVID-19-Sterblichkeit nach Einkommen: Vorbefunde schlagen Impfung um Faktor 3–5</w:t>
      </w:r>
    </w:p>
    <w:p>
      <w:r>
        <w:rPr>
          <w:i/>
          <w:color w:val="666666"/>
          <w:sz w:val="18"/>
        </w:rPr>
        <w:t>Milkovska E et al.  ·  Int J Epidemiol  ·  18.08.2026  ·  PMID 42727089</w:t>
      </w:r>
    </w:p>
    <w:p>
      <w:r>
        <w:t>Analyse niederländischer Administrativdaten (n = 6.619.699) zur Frage, inwieweit unterschiedliche Vorerkrankungen und Impfquoten die Sterblichkeitsungleichheit nach Einkommen im Jahr 2021 erklären.</w:t>
      </w:r>
    </w:p>
    <w:p>
      <w:r>
        <w:rPr>
          <w:b/>
        </w:rPr>
        <w:t xml:space="preserve">Ergebnis: </w:t>
      </w:r>
      <w:r>
        <w:t>Ärmstes Einkommensfünftel starb 3-mal häufiger an COVID-19 als reichstes. Unterschiede in Vorerkrankungen erklärten 46–67 % der Ungleichheit, Unterschiede in Impfquoten nur 14–19 %. Soziale Determinanten der Gesundheit waren das Haupttreiber.</w:t>
      </w:r>
    </w:p>
    <w:p>
      <w:r>
        <w:rPr>
          <w:b/>
          <w:sz w:val="19"/>
        </w:rPr>
        <w:t xml:space="preserve">Übertragbarkeit: </w:t>
      </w:r>
      <w:r>
        <w:rPr>
          <w:sz w:val="19"/>
        </w:rPr>
        <w:t>Niederländische Administrativdaten mit vergleichbarem Versicherungssystem zu Deutschland</w:t>
      </w:r>
    </w:p>
    <w:p>
      <w:r>
        <w:rPr>
          <w:color w:val="5A7D3A"/>
          <w:sz w:val="18"/>
        </w:rPr>
        <w:t>https://pubmed.ncbi.nlm.nih.gov/42727089/</w:t>
      </w:r>
    </w:p>
    <w:p>
      <w:pPr>
        <w:pStyle w:val="Heading2"/>
      </w:pPr>
      <w:r>
        <w:t>Mütterliche RSV-Impfung reduziert Bronchiolitis-Krankenhauseinweisungen bei Säuglingen um 62 %</w:t>
      </w:r>
    </w:p>
    <w:p>
      <w:r>
        <w:rPr>
          <w:i/>
          <w:color w:val="666666"/>
          <w:sz w:val="18"/>
        </w:rPr>
        <w:t>Broad J et al.  ·  Euro Surveill  ·  Sept. 2026  ·  PMID 42725370</w:t>
      </w:r>
    </w:p>
    <w:p>
      <w:r>
        <w:t>Zeitreihenanalyse zu Auswirkungen der mütterlichen RSV-Impfung auf Hospitalisierungen von Säuglingen unter 3 Monaten in England von September 2024 bis März 2026.</w:t>
      </w:r>
    </w:p>
    <w:p>
      <w:r>
        <w:rPr>
          <w:b/>
        </w:rPr>
        <w:t xml:space="preserve">Ergebnis: </w:t>
      </w:r>
      <w:r>
        <w:t>RSV-Bronchiolitis-Krankenhauseinweisungen sanken um 62,6 % (IRR 0,374; 95%-KI: 0,344–0,407), Bronchiolitis insgesamt um 39,3 %. Bei Impfquote von 55,1 % reduzierten sich Aufnahmen auf Intensivstationen um 41,0 %. Ein bedeutender Schutzeffekt unter realen Versorgungsbedingungen.</w:t>
      </w:r>
    </w:p>
    <w:p>
      <w:r>
        <w:rPr>
          <w:b/>
          <w:sz w:val="19"/>
        </w:rPr>
        <w:t xml:space="preserve">Übertragbarkeit: </w:t>
      </w:r>
      <w:r>
        <w:rPr>
          <w:sz w:val="19"/>
        </w:rPr>
        <w:t>England mit Impfregister; Datenverfügbarkeit ähnlich wie in Skandinavien, nicht Deutschland</w:t>
      </w:r>
    </w:p>
    <w:p>
      <w:r>
        <w:rPr>
          <w:color w:val="5A7D3A"/>
          <w:sz w:val="18"/>
        </w:rPr>
        <w:t>https://pubmed.ncbi.nlm.nih.gov/42725370/</w:t>
      </w:r>
    </w:p>
    <w:p>
      <w:pPr>
        <w:pStyle w:val="Heading2"/>
      </w:pPr>
      <w:r>
        <w:t>Impfskepsis in Pakistan: Datenschutzmethoden zeigen Underreporting bei sensiblen Fragen</w:t>
      </w:r>
    </w:p>
    <w:p>
      <w:r>
        <w:rPr>
          <w:i/>
          <w:color w:val="666666"/>
          <w:sz w:val="18"/>
        </w:rPr>
        <w:t>Shahid MI et al.  ·  Front Public Health  ·  27.08.2026  ·  PMID 42723770</w:t>
      </w:r>
    </w:p>
    <w:p>
      <w:r>
        <w:t>Querschnittsstudie mit 1.200 Teilnehmern in Punjab, Pakistan (Juni–August 2021), die Underreporting von COVID-19-Fällen und Impfskepsis mit privacy-wahrenden randomisierten Antworttechniken misst.</w:t>
      </w:r>
    </w:p>
    <w:p>
      <w:r>
        <w:rPr>
          <w:b/>
        </w:rPr>
        <w:t xml:space="preserve">Ergebnis: </w:t>
      </w:r>
      <w:r>
        <w:t>Direkt berichtete COVID-19-Fälle (städtisch 10,5 %, ländlich 13,7 %) lagen unter datenschutzgeschützten Schätzungen (städtisch 15,3–17,4 %, ländlich 16,7–19,5 %). Impfskepsis-Underreporting kleiner (26,3 % vs. 27,2–27,4 %). PRE &gt;100, bessere Effizienz als Benchmark-Modelle. Privacy-Methoden reduzieren Verzerrung bei sensiblen Outcomes.</w:t>
      </w:r>
    </w:p>
    <w:p>
      <w:r>
        <w:rPr>
          <w:b/>
          <w:sz w:val="19"/>
        </w:rPr>
        <w:t xml:space="preserve">Übertragbarkeit: </w:t>
      </w:r>
      <w:r>
        <w:rPr>
          <w:sz w:val="19"/>
        </w:rPr>
        <w:t>Pakistan, Niedrig-Ressourcen-Setting; Methode zur Verbesserung der Surveillancequalität in Ländern mit schwacher Dokumentation</w:t>
      </w:r>
    </w:p>
    <w:p>
      <w:r>
        <w:rPr>
          <w:color w:val="5A7D3A"/>
          <w:sz w:val="18"/>
        </w:rPr>
        <w:t>https://pubmed.ncbi.nlm.nih.gov/42723770/</w:t>
      </w:r>
    </w:p>
    <w:p>
      <w:pPr>
        <w:pStyle w:val="Heading2"/>
      </w:pPr>
      <w:r>
        <w:t>PCV21-Pneumokokken-Impfung für Risikopatienten 18–64 Jahre in der Schweiz kosteneffektiv</w:t>
      </w:r>
    </w:p>
    <w:p>
      <w:r>
        <w:rPr>
          <w:i/>
          <w:color w:val="666666"/>
          <w:sz w:val="18"/>
        </w:rPr>
        <w:t>Simuzingili M et al.  ·  J Med Econ  ·  10.09.2026  ·  PMID 42723339</w:t>
      </w:r>
    </w:p>
    <w:p>
      <w:r>
        <w:t>Markov-Modell zur Kosten-Effektivität einer PCV21-Impfung für Hochrisiko- und Risiko-Patienten (18–64 Jahre) in der Schweiz mit lebenslanger Perspektive.</w:t>
      </w:r>
    </w:p>
    <w:p>
      <w:r>
        <w:rPr>
          <w:b/>
        </w:rPr>
        <w:t xml:space="preserve">Ergebnis: </w:t>
      </w:r>
      <w:r>
        <w:t>Bei 60-prozentiger Impfquote wurden 518 Fälle invasiver Pneumokokkenerkrankung, 224 Todesfälle und 2.578 ambulant behandelte Pneumonien verhindert. Impfkosten (CHF 39,0 Mio.) überwogen Einsparungen (CHF 21,4 Mio.) um Netto-CHF 17,6 Mio. ICER: CHF 7.665/QALY (kosteneffektiv ab CHF 18.000/QALY-Schwelle). In Sensitivitätsanalyse 100 % Wahrscheinlichkeit Kosteneffektivität.</w:t>
      </w:r>
    </w:p>
    <w:p>
      <w:r>
        <w:rPr>
          <w:b/>
          <w:sz w:val="19"/>
        </w:rPr>
        <w:t xml:space="preserve">Übertragbarkeit: </w:t>
      </w:r>
      <w:r>
        <w:rPr>
          <w:sz w:val="19"/>
        </w:rPr>
        <w:t>Schweizer Gesundheitssystem; Kosten- und Nutzenstruktur ähnlich dem deutschen</w:t>
      </w:r>
    </w:p>
    <w:p>
      <w:r>
        <w:rPr>
          <w:color w:val="5A7D3A"/>
          <w:sz w:val="18"/>
        </w:rPr>
        <w:t>https://pubmed.ncbi.nlm.nih.gov/42723339/</w:t>
      </w:r>
    </w:p>
    <w:p>
      <w:pPr>
        <w:pStyle w:val="Heading2"/>
      </w:pPr>
      <w:r>
        <w:t>RSVpreF-Impfung in Frankreich: Empfohlene Strategie verhindert 7.620 Hospitalisierungen, kostengünstig</w:t>
      </w:r>
    </w:p>
    <w:p>
      <w:r>
        <w:rPr>
          <w:i/>
          <w:color w:val="666666"/>
          <w:sz w:val="18"/>
        </w:rPr>
        <w:t>Fahfouhi Y et al.  ·  Vaccine  ·  03.10.2026  ·  PMID 42628195</w:t>
      </w:r>
    </w:p>
    <w:p>
      <w:r>
        <w:t>Markov-Modell zur Gesundheits- und Kostenfolgen von vier nationalen RSVpreF-Impfstrategien für schwangere Frauen in Frankreich unter Verwendung von Daten zu 627.499 Geburten pro Jahr.</w:t>
      </w:r>
    </w:p>
    <w:p>
      <w:r>
        <w:rPr>
          <w:b/>
        </w:rPr>
        <w:t xml:space="preserve">Ergebnis: </w:t>
      </w:r>
      <w:r>
        <w:t>Ohne Impfung: 38.625 RSV-Hospitalisierungen pro Jahr (Kosten €120,0 Mio.). Empfohlene Strategie (Sept.–Jan.) verhinderte 7.620 Hospitalisierungen (−19,7 %), Kosten €126,4 Mio., €844/Hospitalisierung verhindert, NNV 21. Erweiterte Strategie (Mai–Jan.) zusätzlich 4.111 Fälle vermieden (−13,3 % zusätzlich), erhöhte Gesamtkosten auf €134,4 Mio. (+6,3 %).</w:t>
      </w:r>
    </w:p>
    <w:p>
      <w:r>
        <w:rPr>
          <w:b/>
          <w:sz w:val="19"/>
        </w:rPr>
        <w:t xml:space="preserve">Übertragbarkeit: </w:t>
      </w:r>
      <w:r>
        <w:rPr>
          <w:sz w:val="19"/>
        </w:rPr>
        <w:t>Frankreich, europäisches Versicherungssystem; Nationale Impfkalender und Gesundheitsvergütung vergleichbar</w:t>
      </w:r>
    </w:p>
    <w:p>
      <w:r>
        <w:rPr>
          <w:color w:val="5A7D3A"/>
          <w:sz w:val="18"/>
        </w:rPr>
        <w:t>https://pubmed.ncbi.nlm.nih.gov/42628195/</w:t>
      </w:r>
    </w:p>
    <w:p>
      <w:pPr>
        <w:pStyle w:val="Heading2"/>
      </w:pPr>
      <w:r>
        <w:t>HPV-Impfquote in Europa: 55–60 % im Jahr 5, Schulprogramme und Arztdichte entscheidend</w:t>
      </w:r>
    </w:p>
    <w:p>
      <w:r>
        <w:rPr>
          <w:i/>
          <w:color w:val="666666"/>
          <w:sz w:val="18"/>
        </w:rPr>
        <w:t>Pavia G et al.  ·  Vaccine  ·  03.10.2026  ·  PMID 42623713</w:t>
      </w:r>
    </w:p>
    <w:p>
      <w:r>
        <w:t>Längsschnittstudie über Impfquoten bei 15-jährigen Mädchen in 43 europäischen Ländern 2010–2023, mit Analyse von Prädiktoren und Assoziation mit Google-Suchvolumen.</w:t>
      </w:r>
    </w:p>
    <w:p>
      <w:r>
        <w:rPr>
          <w:b/>
        </w:rPr>
        <w:t xml:space="preserve">Ergebnis: </w:t>
      </w:r>
      <w:r>
        <w:t>Impfquote stieg nach Aufnahme ins nationale Programm auf ~40 % im Jahr 2 , stabilisierte sich bei 55–60 % im Jahr 5. Über 60 % in den meisten Ländern erreicht. Schulprogramme boten schnellere Kurven. Ärztedichte und niedrige öffentliche Skepsis waren signifikante Prädiktoren. WHO-Ziel von 90 % verfehlt.</w:t>
      </w:r>
    </w:p>
    <w:p>
      <w:r>
        <w:rPr>
          <w:b/>
          <w:sz w:val="19"/>
        </w:rPr>
        <w:t xml:space="preserve">Übertragbarkeit: </w:t>
      </w:r>
      <w:r>
        <w:rPr>
          <w:sz w:val="19"/>
        </w:rPr>
        <w:t>Europäische Länder, vergleichbare Systeme; Datenqualität variiert stark (kein deutsches Impfregister)</w:t>
      </w:r>
    </w:p>
    <w:p>
      <w:r>
        <w:rPr>
          <w:color w:val="5A7D3A"/>
          <w:sz w:val="18"/>
        </w:rPr>
        <w:t>https://pubmed.ncbi.nlm.nih.gov/42623713/</w:t>
      </w:r>
    </w:p>
    <w:p>
      <w:pPr>
        <w:pStyle w:val="Heading2"/>
      </w:pPr>
      <w:r>
        <w:t>Diphtherie in der Schweiz 1877–2022: Impfprogramme brachen Epidemie-Wellen</w:t>
      </w:r>
    </w:p>
    <w:p>
      <w:r>
        <w:rPr>
          <w:i/>
          <w:color w:val="666666"/>
          <w:sz w:val="18"/>
        </w:rPr>
        <w:t>Tuor SM et al.  ·  Vaccine  ·  03.10.2026  ·  PMID 42623711</w:t>
      </w:r>
    </w:p>
    <w:p>
      <w:r>
        <w:t>Historische Zeitreihenanalyse der Diphtherie-Morbidität und -Mortalität in der Schweiz über 145 Jahre, mit Bayesianischen Modellen zur Quantifizierung des Impfeffekts ab 1933.</w:t>
      </w:r>
    </w:p>
    <w:p>
      <w:r>
        <w:rPr>
          <w:b/>
        </w:rPr>
        <w:t xml:space="preserve">Ergebnis: </w:t>
      </w:r>
      <w:r>
        <w:t>Von 35.271 Diphtherietodesfällen (1877–2022) starben 99,5 % vor flächendeckender Impfung. Nach Einführung zwingender Impfung in Genf (1933) lagen Inzidenz und Mortalität konsistent unter gemodellten Gegenszenarios. Nach landesweiter Empfehlung (1943) sank Diphtherie schnell in allen Kantonen, aber früher und stärker in Kantonen mit Impfpflicht.</w:t>
      </w:r>
    </w:p>
    <w:p>
      <w:r>
        <w:rPr>
          <w:b/>
          <w:sz w:val="19"/>
        </w:rPr>
        <w:t xml:space="preserve">Übertragbarkeit: </w:t>
      </w:r>
      <w:r>
        <w:rPr>
          <w:sz w:val="19"/>
        </w:rPr>
        <w:t>Schweizer Klinik- und Todesursachendaten; DACH-System mit Dokumentationspflicht vergleichbar</w:t>
      </w:r>
    </w:p>
    <w:p>
      <w:r>
        <w:rPr>
          <w:color w:val="5A7D3A"/>
          <w:sz w:val="18"/>
        </w:rPr>
        <w:t>https://pubmed.ncbi.nlm.nih.gov/42623711/</w:t>
      </w:r>
    </w:p>
    <w:p>
      <w:pPr>
        <w:pStyle w:val="Heading1"/>
      </w:pPr>
      <w:r>
        <w:t>Aufgenommen am 11.09.2026</w:t>
      </w:r>
    </w:p>
    <w:p>
      <w:pPr>
        <w:pStyle w:val="Heading2"/>
      </w:pPr>
      <w:r>
        <w:t>Hebammensicht auf Impfskepsis und Impfverweigerung: Faktoren und Strategien</w:t>
      </w:r>
    </w:p>
    <w:p>
      <w:r>
        <w:rPr>
          <w:i/>
          <w:color w:val="666666"/>
          <w:sz w:val="18"/>
        </w:rPr>
        <w:t>Çatalgöl Ş et al.  ·  Rev Esc Enferm USP  ·  07.09.2026  ·  PMID 42721439</w:t>
      </w:r>
    </w:p>
    <w:p>
      <w:r>
        <w:t>Deskriptive Querschnittsstudie mit 81 Hebammen in türkischen Familien-Gesundheitszentren zu Faktoren der Impfskepsis und empfohlenen Lösungsstrategien.</w:t>
      </w:r>
    </w:p>
    <w:p>
      <w:r>
        <w:rPr>
          <w:b/>
        </w:rPr>
        <w:t xml:space="preserve">Ergebnis: </w:t>
      </w:r>
      <w:r>
        <w:t>Meistgenannte Faktoren der Impfskepsis: Anti-Impf-Websites (90,1 %), Sorgen um Impfstoff-Inhaltsstoffe (70,4 %), Einfluss von Gemeinschaftsführern (66,7 %), religiöse Bedenken (65,4 %). Empfohlene Strategien: Fernsehen-Inhalte zur Impfung (70,4 %), öffentliche Ankündigungen (67,9 %), Informationen durch Gesundheitsarbeiter (58,0 %).</w:t>
      </w:r>
    </w:p>
    <w:p>
      <w:r>
        <w:rPr>
          <w:b/>
          <w:sz w:val="19"/>
        </w:rPr>
        <w:t xml:space="preserve">Übertragbarkeit: </w:t>
      </w:r>
      <w:r>
        <w:rPr>
          <w:sz w:val="19"/>
        </w:rPr>
        <w:t>Türkei, ähnliche Herausforderungen wie deutschsprachige Länder; Rolle von Hebammen in Versorgung relevant</w:t>
      </w:r>
    </w:p>
    <w:p>
      <w:r>
        <w:rPr>
          <w:color w:val="5A7D3A"/>
          <w:sz w:val="18"/>
        </w:rPr>
        <w:t>https://pubmed.ncbi.nlm.nih.gov/42721439/</w:t>
      </w:r>
    </w:p>
    <w:p>
      <w:pPr>
        <w:pStyle w:val="Heading2"/>
      </w:pPr>
      <w:r>
        <w:t>Phase-1-COVID-19-Vakzin-Studien: Flüssige Entscheidungsfindung unter wechselndem Pandemikontext</w:t>
      </w:r>
    </w:p>
    <w:p>
      <w:r>
        <w:rPr>
          <w:i/>
          <w:color w:val="666666"/>
          <w:sz w:val="18"/>
        </w:rPr>
        <w:t>Halperin DM et al.  ·  Hum Vaccin Immunother  ·  10.09.2026  ·  PMID 42721118</w:t>
      </w:r>
    </w:p>
    <w:p>
      <w:r>
        <w:t>Qualitative Studie zur Untersuchung von Faktoren, die Einschluss und Verbleib in Phase-1-COVID-19-Vakzin-Studien beeinflussen, mit semi-strukturierten Interviews bei Teilnehmern und Nicht-Teilnehmern.</w:t>
      </w:r>
    </w:p>
    <w:p>
      <w:r>
        <w:rPr>
          <w:b/>
        </w:rPr>
        <w:t xml:space="preserve">Ergebnis: </w:t>
      </w:r>
      <w:r>
        <w:t>Teilnahmeentscheidungen sind flüssig, nicht einmalig; Teilnehmer bewerteten Prioritäten kontinuierlich neu in Abhängigkeit von öffentlich zugelassenen Impfstoffen, Mandaten und COVID-19-Fallzahlen. Protokoll-Anpassung mit Erlaubnis zur PHAV-Gabe unterstützte Verbleib bis Studienende.</w:t>
      </w:r>
    </w:p>
    <w:p>
      <w:r>
        <w:rPr>
          <w:b/>
          <w:sz w:val="19"/>
        </w:rPr>
        <w:t xml:space="preserve">Übertragbarkeit: </w:t>
      </w:r>
      <w:r>
        <w:rPr>
          <w:sz w:val="19"/>
        </w:rPr>
        <w:t>Kanada, ähnliche Versorgungsstrukturen; qualitative Erkenntnisse auf Impfstoff-Vertrauen übertragbar</w:t>
      </w:r>
    </w:p>
    <w:p>
      <w:r>
        <w:rPr>
          <w:color w:val="5A7D3A"/>
          <w:sz w:val="18"/>
        </w:rPr>
        <w:t>https://pubmed.ncbi.nlm.nih.gov/42721118/</w:t>
      </w:r>
    </w:p>
    <w:p>
      <w:pPr>
        <w:pStyle w:val="Heading2"/>
      </w:pPr>
      <w:r>
        <w:t>Erweiterte HPV-Impfung in Polen: Gesundheitsgewinne und Kosteneffizienz</w:t>
      </w:r>
    </w:p>
    <w:p>
      <w:r>
        <w:rPr>
          <w:i/>
          <w:color w:val="666666"/>
          <w:sz w:val="18"/>
        </w:rPr>
        <w:t>Jaworski R et al.  ·  J Med Econ  ·  09.09.2026  ·  PMID 42717549</w:t>
      </w:r>
    </w:p>
    <w:p>
      <w:r>
        <w:t>Kosten-Nutzen-Analyse zur Erweiterung der HPV-Impfung auf Jungen und Mädchen im Alter 9–17 Jahren in Polen.</w:t>
      </w:r>
    </w:p>
    <w:p>
      <w:r>
        <w:rPr>
          <w:b/>
        </w:rPr>
        <w:t xml:space="preserve">Ergebnis: </w:t>
      </w:r>
      <w:r>
        <w:t>Erhöhung der Impfquoten von 20 % auf 60 % reduziert HPV-assoziierte Erkrankungen um 16 % und Todesfälle um 13 %; bei 90 % Abdeckung Reduktion um 33 % bzw. 27 %. Jeder investierte EUR 1,00 erbringt EUR 4,2 (Gesellschaft) bzw. EUR 2,2 (Fiskus) bei 60 % Abdeckung; EUR 4,6 bzw. EUR 2,4 bei 90 %.</w:t>
      </w:r>
    </w:p>
    <w:p>
      <w:r>
        <w:rPr>
          <w:b/>
          <w:sz w:val="19"/>
        </w:rPr>
        <w:t xml:space="preserve">Übertragbarkeit: </w:t>
      </w:r>
      <w:r>
        <w:rPr>
          <w:sz w:val="19"/>
        </w:rPr>
        <w:t>Polen, europäisches Sozialversicherungssystem, Impfkalender-Modellierung</w:t>
      </w:r>
    </w:p>
    <w:p>
      <w:r>
        <w:rPr>
          <w:color w:val="5A7D3A"/>
          <w:sz w:val="18"/>
        </w:rPr>
        <w:t>https://pubmed.ncbi.nlm.nih.gov/42717549/</w:t>
      </w:r>
    </w:p>
    <w:p>
      <w:pPr>
        <w:pStyle w:val="Heading2"/>
      </w:pPr>
      <w:r>
        <w:t>EV-A71-Impfung in Shanghai: 89,9 % Effektivität, Verschiebung zu Nicht-EV-A71-Serotypen</w:t>
      </w:r>
    </w:p>
    <w:p>
      <w:r>
        <w:rPr>
          <w:i/>
          <w:color w:val="666666"/>
          <w:sz w:val="18"/>
        </w:rPr>
        <w:t>Xu Z et al.  ·  Hum Vaccin Immunother  ·  09.09.2026  ·  PMID 42714139</w:t>
      </w:r>
    </w:p>
    <w:p>
      <w:r>
        <w:t>Test-Negative-Design-Studie zur Wirksamkeit der EV-A71-Impfung gegen Hand-Fuß-Mund-Krankheit in Shanghai 2009–2023, mit Vergleich prä- und post-Impfprogramm-Epidemiologie.</w:t>
      </w:r>
    </w:p>
    <w:p>
      <w:r>
        <w:rPr>
          <w:b/>
        </w:rPr>
        <w:t xml:space="preserve">Ergebnis: </w:t>
      </w:r>
      <w:r>
        <w:t>Gesamtwirksamkeit gegen EV-A71-assoziierte HFMD und Herpangina: 89,9 % (95%-KI: 74,5–96,0) für Zwei-Dosen-Serie, 67,9 % (95%-KI: 2,6–89,6) für Einzeldosis. Nach Impfprogramm-Einführung: Inzidenz-Reduktion 56,7 %, Schweregradreduktion 95,2 %, null Todesfälle (von 3 auf 0).</w:t>
      </w:r>
    </w:p>
    <w:p>
      <w:r>
        <w:rPr>
          <w:b/>
          <w:sz w:val="19"/>
        </w:rPr>
        <w:t xml:space="preserve">Übertragbarkeit: </w:t>
      </w:r>
      <w:r>
        <w:rPr>
          <w:sz w:val="19"/>
        </w:rPr>
        <w:t>China-Daten, aber Versorgungseffektivität in realer Welt gut dokumentiert; Serotyp-Shift hat globale Relevanz</w:t>
      </w:r>
    </w:p>
    <w:p>
      <w:r>
        <w:rPr>
          <w:color w:val="5A7D3A"/>
          <w:sz w:val="18"/>
        </w:rPr>
        <w:t>https://pubmed.ncbi.nlm.nih.gov/42714139/</w:t>
      </w:r>
    </w:p>
    <w:p>
      <w:pPr>
        <w:pStyle w:val="Heading2"/>
      </w:pPr>
      <w:r>
        <w:t>mRNA-Impfung verursacht reproduzierbare Transkript-Isoform-Verschiebungen</w:t>
      </w:r>
    </w:p>
    <w:p>
      <w:r>
        <w:rPr>
          <w:i/>
          <w:color w:val="666666"/>
          <w:sz w:val="18"/>
        </w:rPr>
        <w:t>Riemann L et al.  ·  Eur J Immunol  ·  Sept. 2026  ·  PMID 42670157</w:t>
      </w:r>
    </w:p>
    <w:p>
      <w:r>
        <w:t>Analyse longitudinaler RNA-Sequenzierungs-Daten zur Charakterisierung von Veränderungen in der Transkript-Isoform-Nutzung nach mRNA-Impfung.</w:t>
      </w:r>
    </w:p>
    <w:p>
      <w:r>
        <w:rPr>
          <w:b/>
        </w:rPr>
        <w:t xml:space="preserve">Ergebnis: </w:t>
      </w:r>
      <w:r>
        <w:t>mRNA-Impfung induziert schnelle und transiente Welle differentieller Transkript-Nutzung, die 24 h post-Impfung mit 131 veränderten Isoformen über 107 Gene gipfelt, vor Auflösung bis Tag 14. Muster reproduzierbar über mehrere Impfstoff-Kohorten (MVA-basiert, Influenza, Ebola).</w:t>
      </w:r>
    </w:p>
    <w:p>
      <w:r>
        <w:rPr>
          <w:b/>
          <w:sz w:val="19"/>
        </w:rPr>
        <w:t xml:space="preserve">Übertragbarkeit: </w:t>
      </w:r>
      <w:r>
        <w:rPr>
          <w:sz w:val="19"/>
        </w:rPr>
        <w:t>Grundlagenforschung ohne klinischen Endpunkt, nicht geeignet für Versorgungsanalyse</w:t>
      </w:r>
    </w:p>
    <w:p>
      <w:r>
        <w:rPr>
          <w:color w:val="5A7D3A"/>
          <w:sz w:val="18"/>
        </w:rPr>
        <w:t>https://pubmed.ncbi.nlm.nih.gov/42670157/</w:t>
      </w:r>
    </w:p>
    <w:p>
      <w:pPr>
        <w:pStyle w:val="Heading2"/>
      </w:pPr>
      <w:r>
        <w:t>Influenza- und Herpes-Zoster-Impfeffektivität bei Autoimmunerkrankungen: keine Unterschiede zu Gesunden</w:t>
      </w:r>
    </w:p>
    <w:p>
      <w:r>
        <w:rPr>
          <w:i/>
          <w:color w:val="666666"/>
          <w:sz w:val="18"/>
        </w:rPr>
        <w:t>Denz R et al.  ·  J Infect Public Health  ·  02.07.2026  ·  PMID 42398453</w:t>
      </w:r>
    </w:p>
    <w:p>
      <w:r>
        <w:t>Emulierte Zielstudien mit Anspruchsdaten einer großen deutschen Krankenkasse zur Vergleichbarkeit der Impfwirksamkeit zwischen Personen mit und ohne Autoimmunerkrankungen (MS, IBD, CIRD).</w:t>
      </w:r>
    </w:p>
    <w:p>
      <w:r>
        <w:rPr>
          <w:b/>
        </w:rPr>
        <w:t xml:space="preserve">Ergebnis: </w:t>
      </w:r>
      <w:r>
        <w:t>Herpes-Zoster-Wirksamkeit: 68,73 % (95%-KI: 55,75–77,91) bei AID, 60,30 % (55,59–64,52) ohne AID; Wirksamkeitsverhältnis 1,14 (0,93–1,30). Influenza-Wirksamkeit ohne relevante Unterschiede über vier Saisonen; alle Wirksamkeitsverhältnisse nahe 1.</w:t>
      </w:r>
    </w:p>
    <w:p>
      <w:r>
        <w:rPr>
          <w:b/>
          <w:sz w:val="19"/>
        </w:rPr>
        <w:t xml:space="preserve">Übertragbarkeit: </w:t>
      </w:r>
      <w:r>
        <w:rPr>
          <w:sz w:val="19"/>
        </w:rPr>
        <w:t>Deutsche Anspruchsdaten, vergleichbar mit Routine-Versorgung; MS, IBD, CIRD-Patienten relevant für Versorgung</w:t>
      </w:r>
    </w:p>
    <w:p>
      <w:r>
        <w:rPr>
          <w:color w:val="5A7D3A"/>
          <w:sz w:val="18"/>
        </w:rPr>
        <w:t>https://pubmed.ncbi.nlm.nih.gov/42398453/</w:t>
      </w:r>
    </w:p>
    <w:p>
      <w:pPr>
        <w:pStyle w:val="Heading1"/>
      </w:pPr>
      <w:r>
        <w:t>Aufgenommen am 10.09.2026</w:t>
      </w:r>
    </w:p>
    <w:p>
      <w:pPr>
        <w:pStyle w:val="Heading2"/>
      </w:pPr>
      <w:r>
        <w:t>RSV-Impfskepsis bei chinesischen Eltern: Informationssuche dominiert, nicht Vertrauen</w:t>
      </w:r>
    </w:p>
    <w:p>
      <w:r>
        <w:rPr>
          <w:i/>
          <w:color w:val="666666"/>
          <w:sz w:val="18"/>
        </w:rPr>
        <w:t>Zhu Y et al.  ·  Hum Vaccin Immunother  ·  31.12.2026  ·  PMID 42714313</w:t>
      </w:r>
    </w:p>
    <w:p>
      <w:r>
        <w:t>Querschnittstudie mit 4.422 Paaren (Schwangere und Partner) in acht chinesischen Provinzen zur Analyse psychologischer Vorstufen der Vaccine Hesitancy gegenüber RSV-Impfstoffen und RSV-Antikörpern.</w:t>
      </w:r>
    </w:p>
    <w:p>
      <w:r>
        <w:rPr>
          <w:b/>
        </w:rPr>
        <w:t xml:space="preserve">Ergebnis: </w:t>
      </w:r>
      <w:r>
        <w:t>Frauen zeigten marginal niedrigere 5C-Werte als Partner für mütterliche Impfung (45,88 vs. 46,25; Cohen's d = −0,06). Älteres Alter, ländlicher Wohnort und niedriges Einkommen waren unabhängig mit höherer Hesitancy assoziiert. 'Calculation' (aktive Informationssuche) scorte bei beiden Gruppen am höchsten.</w:t>
      </w:r>
    </w:p>
    <w:p>
      <w:r>
        <w:rPr>
          <w:b/>
          <w:sz w:val="19"/>
        </w:rPr>
        <w:t xml:space="preserve">Übertragbarkeit: </w:t>
      </w:r>
      <w:r>
        <w:rPr>
          <w:sz w:val="19"/>
        </w:rPr>
        <w:t>China-Studie; Psychologische Grundmuster der Vaccine Hesitancy international relevant.</w:t>
      </w:r>
    </w:p>
    <w:p>
      <w:r>
        <w:rPr>
          <w:color w:val="5A7D3A"/>
          <w:sz w:val="18"/>
        </w:rPr>
        <w:t>https://pubmed.ncbi.nlm.nih.gov/42714313/</w:t>
      </w:r>
    </w:p>
    <w:p>
      <w:pPr>
        <w:pStyle w:val="Heading2"/>
      </w:pPr>
      <w:r>
        <w:t>Gesundheitskommunikation gegen Impfskepsis bei Kinderimpfungen in Nigeria – Systematische Übersicht</w:t>
      </w:r>
    </w:p>
    <w:p>
      <w:r>
        <w:rPr>
          <w:i/>
          <w:color w:val="666666"/>
          <w:sz w:val="18"/>
        </w:rPr>
        <w:t>Ike TJ et al.  ·  Front Public Health  ·  25.08.2026  ·  PMID 42713528</w:t>
      </w:r>
    </w:p>
    <w:p>
      <w:r>
        <w:t>Systematische Übersicht mit thematischer Synthese von 12 Studien (2017–2026) zu Kommunikationsstrategien gegen elterliche Vaccine Hesitancy bei Kinderimpfungen in Nigeria.</w:t>
      </w:r>
    </w:p>
    <w:p>
      <w:r>
        <w:rPr>
          <w:b/>
        </w:rPr>
        <w:t xml:space="preserve">Ergebnis: </w:t>
      </w:r>
      <w:r>
        <w:t>Vier Strategietypen identifiziert: Medienkampagnen, staatlich gesponserte Kommunikation, Gemeinde-zentrierte Ansätze und telefonische Interventionen. Kulturelle Anpassung, Einbindung vertrauter Führungspersonen (religiöse/traditionelle Leader), Multi-Kanal-Ansatz und Responsivität auf strukturelle Barrieren und Informationsbedarf waren erfolgskritisch.</w:t>
      </w:r>
    </w:p>
    <w:p>
      <w:r>
        <w:rPr>
          <w:b/>
          <w:sz w:val="19"/>
        </w:rPr>
        <w:t xml:space="preserve">Übertragbarkeit: </w:t>
      </w:r>
      <w:r>
        <w:rPr>
          <w:sz w:val="19"/>
        </w:rPr>
        <w:t>Nigeria, niedriges Einkommen; Kommunikationsprinzipien zu Vaccine Hesitancy aber universal relevant.</w:t>
      </w:r>
    </w:p>
    <w:p>
      <w:r>
        <w:rPr>
          <w:color w:val="5A7D3A"/>
          <w:sz w:val="18"/>
        </w:rPr>
        <w:t>https://pubmed.ncbi.nlm.nih.gov/42713528/</w:t>
      </w:r>
    </w:p>
    <w:p>
      <w:pPr>
        <w:pStyle w:val="Heading2"/>
      </w:pPr>
      <w:r>
        <w:t>HPV-Impfquote 70% in Shenzhen: Psychologische Modelle verlieren Erklärungskraft, Kosten bleiben Barriere</w:t>
      </w:r>
    </w:p>
    <w:p>
      <w:r>
        <w:rPr>
          <w:i/>
          <w:color w:val="666666"/>
          <w:sz w:val="18"/>
        </w:rPr>
        <w:t>Liu Y et al.  ·  Front Public Health  ·  25.08.2026  ·  PMID 42712616</w:t>
      </w:r>
    </w:p>
    <w:p>
      <w:r>
        <w:t>Querschnittstudie mit 1.257 Frauen in Shenzhen zur Diskriminanzvalidität von Health Belief Model und 3C-Modell bei Restimpfverweigerung nach bereits 70% HPV-Impfquote.</w:t>
      </w:r>
    </w:p>
    <w:p>
      <w:r>
        <w:rPr>
          <w:b/>
        </w:rPr>
        <w:t xml:space="preserve">Ergebnis: </w:t>
      </w:r>
      <w:r>
        <w:t>Bei 70% Durchimpfung zeigten HBM und 3C-Skalen begrenzte Diskriminanzvalidität zwischen Geimpften und Ungeimpften (nur 2 von 10 Konstrukten signifikant, triviale Effektgrößen d=0,13). Hauptgründe für Nicht-Impfung: hohe Kosten (42,3%) und Sicherheitsbedenken (33,8%). Hukou moderierte wahrgenommene Barrieren suggestiv (nicht signifikant).</w:t>
      </w:r>
    </w:p>
    <w:p>
      <w:r>
        <w:rPr>
          <w:b/>
          <w:sz w:val="19"/>
        </w:rPr>
        <w:t xml:space="preserve">Übertragbarkeit: </w:t>
      </w:r>
      <w:r>
        <w:rPr>
          <w:sz w:val="19"/>
        </w:rPr>
        <w:t>China, hochquoten-Setting; zeigt, dass psychologische Standardmodelle bei Hochquoten an Grenzen stoßen.</w:t>
      </w:r>
    </w:p>
    <w:p>
      <w:r>
        <w:rPr>
          <w:color w:val="5A7D3A"/>
          <w:sz w:val="18"/>
        </w:rPr>
        <w:t>https://pubmed.ncbi.nlm.nih.gov/42712616/</w:t>
      </w:r>
    </w:p>
    <w:p>
      <w:pPr>
        <w:pStyle w:val="Heading2"/>
      </w:pPr>
      <w:r>
        <w:t>EV-A71-Impfung reduzierte Hand-Fuß-Mund-Krankheit um 57% in Shanghai – Shift zu anderen Serotypen beobachtet</w:t>
      </w:r>
    </w:p>
    <w:p>
      <w:r>
        <w:rPr>
          <w:i/>
          <w:color w:val="666666"/>
          <w:sz w:val="18"/>
        </w:rPr>
        <w:t>Deng L et al.  ·  Front Public Health  ·  12.08.2026  ·  PMID 42656515</w:t>
      </w:r>
    </w:p>
    <w:p>
      <w:r>
        <w:t>Analyse epidemiologischer Veränderungen der Hand-Fuß-Mund-Krankheit (HFMD) über 15 Jahre in Minhang-Bezirk Shanghai mit Schätzung der Impfeffektivität nach Test-Negative-Design.</w:t>
      </w:r>
    </w:p>
    <w:p>
      <w:r>
        <w:rPr>
          <w:b/>
        </w:rPr>
        <w:t xml:space="preserve">Ergebnis: </w:t>
      </w:r>
      <w:r>
        <w:t>Nach Einführung der EV-A71-Impfung (2016) sanken Inzidenz um 56,7%, Schweregrad um 95,2%, Sterblichkeit um 100%. Gesamtimpfeffektivität gegen EV-A71-assoziierte HFMD: 89,9% (95%-KI 74,5–96,0) für Zwei-Dosen-Serie; Durchimpfungsquote 50%. Keine Kreuzprotektion gegen andere Serotypen.</w:t>
      </w:r>
    </w:p>
    <w:p>
      <w:r>
        <w:rPr>
          <w:b/>
          <w:sz w:val="19"/>
        </w:rPr>
        <w:t xml:space="preserve">Übertragbarkeit: </w:t>
      </w:r>
      <w:r>
        <w:rPr>
          <w:sz w:val="19"/>
        </w:rPr>
        <w:t>China-Studie, System unterscheidet sich; Effektivitätsmessung an Bevölkerungsdaten aber global vergleichbar.</w:t>
      </w:r>
    </w:p>
    <w:p>
      <w:r>
        <w:rPr>
          <w:color w:val="5A7D3A"/>
          <w:sz w:val="18"/>
        </w:rPr>
        <w:t>https://pubmed.ncbi.nlm.nih.gov/42656515/</w:t>
      </w:r>
    </w:p>
    <w:p>
      <w:pPr>
        <w:pStyle w:val="Heading2"/>
      </w:pPr>
      <w:r>
        <w:t>COVID-19-Impfung in Irland: Barrieren und Förderfaktoren im Implementierungsprozess</w:t>
      </w:r>
    </w:p>
    <w:p>
      <w:r>
        <w:rPr>
          <w:i/>
          <w:color w:val="666666"/>
          <w:sz w:val="18"/>
        </w:rPr>
        <w:t>Kandulu CC et al.  ·  Vaccine  ·  30.08.2026  ·  PMID 42407300</w:t>
      </w:r>
    </w:p>
    <w:p>
      <w:r>
        <w:t>Qualitative Studie mit 16 Stakeholdern zur Identifikation von Faktoren, die die Umsetzung des COVID-19-Impfprogramms in Irland auf nationaler, regionaler und lokaler Ebene beeinflussten.</w:t>
      </w:r>
    </w:p>
    <w:p>
      <w:r>
        <w:rPr>
          <w:b/>
        </w:rPr>
        <w:t xml:space="preserve">Ergebnis: </w:t>
      </w:r>
      <w:r>
        <w:t>Verzögerte oder sich ändernde Evidenz, Komplexität der Impfstoffe und Anpassung der Bereitstellungskonzepte (Skalierung auf Massenimpfzentren) waren kritische Faktoren. Ressourcenverfügbarkeit, organisatorische Infrastruktur, Policy-Rahmen, Kommunikation und Fachkompetenz waren entscheidend für die Umsetzung.</w:t>
      </w:r>
    </w:p>
    <w:p>
      <w:r>
        <w:rPr>
          <w:b/>
          <w:sz w:val="19"/>
        </w:rPr>
        <w:t xml:space="preserve">Übertragbarkeit: </w:t>
      </w:r>
      <w:r>
        <w:rPr>
          <w:sz w:val="19"/>
        </w:rPr>
        <w:t>Irland, vergleichbares europäisches Gesundheitssystem mit dezentraler Struktur.</w:t>
      </w:r>
    </w:p>
    <w:p>
      <w:r>
        <w:rPr>
          <w:color w:val="5A7D3A"/>
          <w:sz w:val="18"/>
        </w:rPr>
        <w:t>https://pubmed.ncbi.nlm.nih.gov/42407300/</w:t>
      </w:r>
    </w:p>
    <w:p>
      <w:pPr>
        <w:pStyle w:val="Heading2"/>
      </w:pPr>
      <w:r>
        <w:t>SARS-CoV-2-Auffrischimpfungen schützen Menschen mit Autoimmunerkrankungen vor schwerer COVID-19</w:t>
      </w:r>
    </w:p>
    <w:p>
      <w:r>
        <w:rPr>
          <w:i/>
          <w:color w:val="666666"/>
          <w:sz w:val="18"/>
        </w:rPr>
        <w:t>Kukreja NS et al.  ·  RMD Open  ·  03.07.2026  ·  PMID 42399080</w:t>
      </w:r>
    </w:p>
    <w:p>
      <w:r>
        <w:t>Nested Case-Control-Studie mit englischen Primärversorgungs- und Krankenhausdaten zu Schutzwirkung von COVID-19-Auffrischimpfungen bei erwachsenen Patienten mit immunmediierter Entzündungserkrankung (IMID).</w:t>
      </w:r>
    </w:p>
    <w:p>
      <w:r>
        <w:rPr>
          <w:b/>
        </w:rPr>
        <w:t xml:space="preserve">Ergebnis: </w:t>
      </w:r>
      <w:r>
        <w:t>Drei Auffrischimpfungen reduzierten Hospitalisierung/Tod um 80% (aOR 0,20; 95%-KI 0,15–0,28), zwei Dosen um 71% (aOR 0,29; 95%-KI 0,23–0,36), eine Dosis um 44% (aOR 0,56; 95%-KI 0,48–0,65). Schutz bestand innerhalb 365 Tage nach Impfung; Impfungen &gt;365 Tage alt zeigten keinen signifikanten Schutz.</w:t>
      </w:r>
    </w:p>
    <w:p>
      <w:r>
        <w:rPr>
          <w:b/>
          <w:sz w:val="19"/>
        </w:rPr>
        <w:t xml:space="preserve">Übertragbarkeit: </w:t>
      </w:r>
      <w:r>
        <w:rPr>
          <w:sz w:val="19"/>
        </w:rPr>
        <w:t>Englische primärärztliche Flächendaten mit Impfquoten und Krankenhausdokumentation, auf deutsches System übertragbar.</w:t>
      </w:r>
    </w:p>
    <w:p>
      <w:r>
        <w:rPr>
          <w:color w:val="5A7D3A"/>
          <w:sz w:val="18"/>
        </w:rPr>
        <w:t>https://pubmed.ncbi.nlm.nih.gov/42399080/</w:t>
      </w:r>
    </w:p>
    <w:p>
      <w:pPr>
        <w:pStyle w:val="Heading1"/>
      </w:pPr>
      <w:r>
        <w:t>Aufgenommen am 09.09.2026</w:t>
      </w:r>
    </w:p>
    <w:p>
      <w:pPr>
        <w:pStyle w:val="Heading2"/>
      </w:pPr>
      <w:r>
        <w:t>Eltern akzeptieren Meningokokken-B-Impfung für Säuglinge unter fachlicher Empfehlung</w:t>
      </w:r>
    </w:p>
    <w:p>
      <w:r>
        <w:rPr>
          <w:i/>
          <w:color w:val="666666"/>
          <w:sz w:val="18"/>
        </w:rPr>
        <w:t>Herrera-Restrepo O et al.  ·  Hum Vaccin Immunother  ·  08.09.2026  ·  PMID 42709765</w:t>
      </w:r>
    </w:p>
    <w:p>
      <w:r>
        <w:t>US-Online-Befragung von 1.051 Eltern mit Kindern ≤18 Monaten zu Impfbereitschaft gegen Meningokokken B.</w:t>
      </w:r>
    </w:p>
    <w:p>
      <w:r>
        <w:rPr>
          <w:b/>
        </w:rPr>
        <w:t xml:space="preserve">Ergebnis: </w:t>
      </w:r>
      <w:r>
        <w:t>73,4% Kinder vollständig geimpft. Von 266 mit unvollständiger Impfung: 59,8% besorgt um Nebenwirkungen. Ohne Fachempfehlung: 66,3% würden MenB-Impfung akzeptieren, mit Krankheitsinformation: 72,1%. Fachperson-Kommunikation war Schlüsselfaktor.</w:t>
      </w:r>
    </w:p>
    <w:p>
      <w:r>
        <w:rPr>
          <w:b/>
          <w:sz w:val="19"/>
        </w:rPr>
        <w:t xml:space="preserve">Übertragbarkeit: </w:t>
      </w:r>
      <w:r>
        <w:rPr>
          <w:sz w:val="19"/>
        </w:rPr>
        <w:t>USA-System, aber Bedeutung der Fachperson-Kommunikation universal anwendbar, nicht auf Registerdaten übertragbar.</w:t>
      </w:r>
    </w:p>
    <w:p>
      <w:r>
        <w:rPr>
          <w:color w:val="5A7D3A"/>
          <w:sz w:val="18"/>
        </w:rPr>
        <w:t>https://pubmed.ncbi.nlm.nih.gov/42709765/</w:t>
      </w:r>
    </w:p>
    <w:p>
      <w:pPr>
        <w:pStyle w:val="Heading2"/>
      </w:pPr>
      <w:r>
        <w:t>Pneumokokken-Impfung ab 50 Jahren hätte 520.000 Erkrankungsfälle verhindern können</w:t>
      </w:r>
    </w:p>
    <w:p>
      <w:r>
        <w:rPr>
          <w:i/>
          <w:color w:val="666666"/>
          <w:sz w:val="18"/>
        </w:rPr>
        <w:t>Sharomi O et al.  ·  Hum Vaccin Immunother  ·  08.09.2026  ·  PMID 42708971</w:t>
      </w:r>
    </w:p>
    <w:p>
      <w:r>
        <w:t>Modellrechnung zu epidemiologischen Effekten einer Senkung der Impfaltersgrenze für Erwachsene von 60 auf 50 Jahre in Deutschland mit V116 oder PCV20.</w:t>
      </w:r>
    </w:p>
    <w:p>
      <w:r>
        <w:rPr>
          <w:b/>
        </w:rPr>
        <w:t xml:space="preserve">Ergebnis: </w:t>
      </w:r>
      <w:r>
        <w:t>Bei Impfquote von 30%: V116 ab 50 Jahren führte zu 520.128 weniger Pneumokokkus-Erkrankungsfällen, PCV20 zu 325.694 weniger. IPD-Inzidenz im Jahr 10 mit V116 ab 50 Jahren: 20,5 pro 100.000 (vs. 22,1 ab 60 Jahren).</w:t>
      </w:r>
    </w:p>
    <w:p>
      <w:r>
        <w:rPr>
          <w:b/>
          <w:sz w:val="19"/>
        </w:rPr>
        <w:t xml:space="preserve">Übertragbarkeit: </w:t>
      </w:r>
      <w:r>
        <w:rPr>
          <w:sz w:val="19"/>
        </w:rPr>
        <w:t>Deutschland, Modellierung mit deutschen Serotyphaten und Epidemiologie, aber keine empirische Versorgungsdatenbasis.</w:t>
      </w:r>
    </w:p>
    <w:p>
      <w:r>
        <w:rPr>
          <w:color w:val="5A7D3A"/>
          <w:sz w:val="18"/>
        </w:rPr>
        <w:t>https://pubmed.ncbi.nlm.nih.gov/42708971/</w:t>
      </w:r>
    </w:p>
    <w:p>
      <w:pPr>
        <w:pStyle w:val="Heading2"/>
      </w:pPr>
      <w:r>
        <w:t>Mütter wählen Impfungen nach Sicherheit – Information und Vertrauen entscheidend</w:t>
      </w:r>
    </w:p>
    <w:p>
      <w:r>
        <w:rPr>
          <w:i/>
          <w:color w:val="666666"/>
          <w:sz w:val="18"/>
        </w:rPr>
        <w:t>Xing R et al.  ·  Front Public Health  ·  24.08.2026  ·  PMID 42707176</w:t>
      </w:r>
    </w:p>
    <w:p>
      <w:r>
        <w:t>Qualitative Studie mit 16 Müttern in China zu Entscheidungsfaktoren bei selbstgezahlten Kinderimpfungen.</w:t>
      </w:r>
    </w:p>
    <w:p>
      <w:r>
        <w:rPr>
          <w:b/>
        </w:rPr>
        <w:t xml:space="preserve">Ergebnis: </w:t>
      </w:r>
      <w:r>
        <w:t>Sicherheit war Voraussetzung vor Nutzenabwägung. Mütter navigierten asymmetrische Informationen, balancierten Vertrauen in Fachpersonen mit unabhängiger Verifikation. Kosten wirkten als Filter oder Priorisierungsmechanismus. Kommunikationsqualität mit Anbieter:innen prägte Vertrauensaufbau; unzureichende Beratung erhöhte Unsicherheit.</w:t>
      </w:r>
    </w:p>
    <w:p>
      <w:r>
        <w:rPr>
          <w:b/>
          <w:sz w:val="19"/>
        </w:rPr>
        <w:t xml:space="preserve">Übertragbarkeit: </w:t>
      </w:r>
      <w:r>
        <w:rPr>
          <w:sz w:val="19"/>
        </w:rPr>
        <w:t>China, aber Entscheidungsprozesse universal; Qualitätskriterien für Beratung auf deutsches System übertragbar.</w:t>
      </w:r>
    </w:p>
    <w:p>
      <w:r>
        <w:rPr>
          <w:color w:val="5A7D3A"/>
          <w:sz w:val="18"/>
        </w:rPr>
        <w:t>https://pubmed.ncbi.nlm.nih.gov/42707176/</w:t>
      </w:r>
    </w:p>
    <w:p>
      <w:pPr>
        <w:pStyle w:val="Heading2"/>
      </w:pPr>
      <w:r>
        <w:t>Impfkampagne in Onkologie erhöht Impfquoten deutlich</w:t>
      </w:r>
    </w:p>
    <w:p>
      <w:r>
        <w:rPr>
          <w:i/>
          <w:color w:val="666666"/>
          <w:sz w:val="18"/>
        </w:rPr>
        <w:t>Markus T et al.  ·  BMC Public Health  ·  07.09.2026  ·  PMID 42706520</w:t>
      </w:r>
    </w:p>
    <w:p>
      <w:r>
        <w:t>Kölner Universitätsklinik testete eine Interventionsstudie mit Patientenaufklärung, Personalschulung und vor-Ort-Impfung über 1,5 Jahre.</w:t>
      </w:r>
    </w:p>
    <w:p>
      <w:r>
        <w:rPr>
          <w:b/>
        </w:rPr>
        <w:t xml:space="preserve">Ergebnis: </w:t>
      </w:r>
      <w:r>
        <w:t>Gesamtimpfquote stieg von 43% auf 49%, Influenza von 37% auf 48%, Pneumokokken von 16% auf 36%, Herpes zoster von 22% auf 33%. Anteil vollständig geimpfter Patienten: 6% auf 16%.</w:t>
      </w:r>
    </w:p>
    <w:p>
      <w:r>
        <w:rPr>
          <w:b/>
          <w:sz w:val="19"/>
        </w:rPr>
        <w:t xml:space="preserve">Übertragbarkeit: </w:t>
      </w:r>
      <w:r>
        <w:rPr>
          <w:sz w:val="19"/>
        </w:rPr>
        <w:t>Deutschland, Universitätsklinik mit vergleichbarem Dokumentationssystem, Patient:innen mit Malignomen.</w:t>
      </w:r>
    </w:p>
    <w:p>
      <w:r>
        <w:rPr>
          <w:color w:val="5A7D3A"/>
          <w:sz w:val="18"/>
        </w:rPr>
        <w:t>https://pubmed.ncbi.nlm.nih.gov/42706520/</w:t>
      </w:r>
    </w:p>
    <w:p>
      <w:pPr>
        <w:pStyle w:val="Heading2"/>
      </w:pPr>
      <w:r>
        <w:t>COVID-19-Impfstoffsicherheit: Präklinische und klinische Pharmakovigilanz verglichen</w:t>
      </w:r>
    </w:p>
    <w:p>
      <w:r>
        <w:rPr>
          <w:i/>
          <w:color w:val="666666"/>
          <w:sz w:val="18"/>
        </w:rPr>
        <w:t>Gonin C et al.  ·  Regul Toxicol Pharmacol  ·  11.07.2026  ·  PMID 42435835</w:t>
      </w:r>
    </w:p>
    <w:p>
      <w:r>
        <w:t>Französische Behörde (ANSM) verglich Sicherheitsdaten aus Laborstudien und Arzneimittelüberwachung für fünf COVID-19-Impfstoffe auf Reaktogenität, Myokarditis und Thrombose.</w:t>
      </w:r>
    </w:p>
    <w:p>
      <w:r>
        <w:rPr>
          <w:b/>
        </w:rPr>
        <w:t xml:space="preserve">Ergebnis: </w:t>
      </w:r>
      <w:r>
        <w:t>Virale Vektorimpfstoffe zeigten höhere Reaktogenität. Myokarditis und Thrombose-Thrombozytopenie wurden nicht in präklinischen Studien vorhergesagt. Biomarker wie Troponin waren klinisch aussagekräftig; keine Korrelation zwischen präklinischen Parametern und klinischen Ergebnissen.</w:t>
      </w:r>
    </w:p>
    <w:p>
      <w:r>
        <w:rPr>
          <w:b/>
          <w:sz w:val="19"/>
        </w:rPr>
        <w:t xml:space="preserve">Übertragbarkeit: </w:t>
      </w:r>
      <w:r>
        <w:rPr>
          <w:sz w:val="19"/>
        </w:rPr>
        <w:t>Frankreich, nationale Pharmakovigilanz mit europäischem Zulassungskontext, auf Deutschland übertragbar.</w:t>
      </w:r>
    </w:p>
    <w:p>
      <w:r>
        <w:rPr>
          <w:color w:val="5A7D3A"/>
          <w:sz w:val="18"/>
        </w:rPr>
        <w:t>https://pubmed.ncbi.nlm.nih.gov/42435835/</w:t>
      </w:r>
    </w:p>
    <w:p>
      <w:pPr>
        <w:pStyle w:val="Heading2"/>
      </w:pPr>
      <w:r>
        <w:t>COVID-19- und Influenza-Impfung sequenziell in Dialyse-Patienten: Immunogenität stabil</w:t>
      </w:r>
    </w:p>
    <w:p>
      <w:r>
        <w:rPr>
          <w:i/>
          <w:color w:val="666666"/>
          <w:sz w:val="18"/>
        </w:rPr>
        <w:t>Bronder S et al.  ·  Sci Rep  ·  06.07.2026  ·  PMID 42410167</w:t>
      </w:r>
    </w:p>
    <w:p>
      <w:r>
        <w:t>Beobachtungsstudie mit 113 dialysepflichtigen Patienten zu sequenzieller Gabe von XBB.1.5-COVID-19-Impfung und Influenza-Impfung im Abstand von 14 Tagen.</w:t>
      </w:r>
    </w:p>
    <w:p>
      <w:r>
        <w:rPr>
          <w:b/>
        </w:rPr>
        <w:t xml:space="preserve">Ergebnis: </w:t>
      </w:r>
      <w:r>
        <w:t>Nach beiden Impfungen: robuste Steigerung humoraler und zellulärer Antworten. Influenza-Impfung beeinträchtigte Spike-spezifische Antikörper oder T-Zell-Antworten nicht. Spike-Reaktionen blieben 6 Monate stabil und über Niveau ungeimpfter Kontrollen.</w:t>
      </w:r>
    </w:p>
    <w:p>
      <w:r>
        <w:rPr>
          <w:b/>
          <w:sz w:val="19"/>
        </w:rPr>
        <w:t xml:space="preserve">Übertragbarkeit: </w:t>
      </w:r>
      <w:r>
        <w:rPr>
          <w:sz w:val="19"/>
        </w:rPr>
        <w:t>Deutschland, vergleichbares Dialyse-System, aber kleine Kohorte; Transfer auf Hochrisiko-Populationen möglich.</w:t>
      </w:r>
    </w:p>
    <w:p>
      <w:r>
        <w:rPr>
          <w:color w:val="5A7D3A"/>
          <w:sz w:val="18"/>
        </w:rPr>
        <w:t>https://pubmed.ncbi.nlm.nih.gov/42410167/</w:t>
      </w:r>
    </w:p>
    <w:p>
      <w:pPr>
        <w:pStyle w:val="Heading1"/>
      </w:pPr>
      <w:r>
        <w:t>Aufgenommen am 08.09.2026</w:t>
      </w:r>
    </w:p>
    <w:p>
      <w:pPr>
        <w:pStyle w:val="Heading2"/>
      </w:pPr>
      <w:r>
        <w:t>Influenzaimpfung in der Schwangerschaft: Wahrnehmungen, Barrieren und Einflussfaktoren im Iran</w:t>
      </w:r>
    </w:p>
    <w:p>
      <w:r>
        <w:rPr>
          <w:i/>
          <w:color w:val="666666"/>
          <w:sz w:val="18"/>
        </w:rPr>
        <w:t>Yousefi M et al.  ·  Hum Vaccin Immunother  ·  07.09.2026  ·  PMID 42704733</w:t>
      </w:r>
    </w:p>
    <w:p>
      <w:r>
        <w:t>Querschnittsbefragung von 630 schwangeren Frauen zu Determinanten der Influenzaimpfakzeptanz mittels kombiniertem Health Belief Model und Theory of Planned Behavior.</w:t>
      </w:r>
    </w:p>
    <w:p>
      <w:r>
        <w:rPr>
          <w:b/>
        </w:rPr>
        <w:t xml:space="preserve">Ergebnis: </w:t>
      </w:r>
      <w:r>
        <w:t>73% wurden während Schwangerschaft geimpft. Wahrgenommene Anfälligkeit und positive Einstellung waren Prädiktoren für Impfintention (β=0,18 bzw. 0,13), wahrgenommene Barrieren wirkten negativ (β=-0,15). Häufigste Barrieren: Nebenwirkungsangst (49,4%), eingeschränkter Zugang (28,2%), fehlende Ärztempfehlung (27,1%), unzureichende Information (34,1%).</w:t>
      </w:r>
    </w:p>
    <w:p>
      <w:r>
        <w:rPr>
          <w:b/>
          <w:sz w:val="19"/>
        </w:rPr>
        <w:t xml:space="preserve">Übertragbarkeit: </w:t>
      </w:r>
      <w:r>
        <w:rPr>
          <w:sz w:val="19"/>
        </w:rPr>
        <w:t>Iran; Erkenntnisse zu Kommunikationsbarrieren in Ländern mit schwächerer Gesundheitsinfrastruktur teilweise übertragbar</w:t>
      </w:r>
    </w:p>
    <w:p>
      <w:r>
        <w:rPr>
          <w:color w:val="5A7D3A"/>
          <w:sz w:val="18"/>
        </w:rPr>
        <w:t>https://pubmed.ncbi.nlm.nih.gov/42704733/</w:t>
      </w:r>
    </w:p>
    <w:p>
      <w:pPr>
        <w:pStyle w:val="Heading2"/>
      </w:pPr>
      <w:r>
        <w:t>Schulisches Engagement für HPV-Impfbewusstsein steigert Akzeptanz bei Mädchen in Malawi</w:t>
      </w:r>
    </w:p>
    <w:p>
      <w:r>
        <w:rPr>
          <w:i/>
          <w:color w:val="666666"/>
          <w:sz w:val="18"/>
        </w:rPr>
        <w:t>Lubanga AF et al.  ·  Hum Vaccin Immunother  ·  07.09.2026  ·  PMID 42703762</w:t>
      </w:r>
    </w:p>
    <w:p>
      <w:r>
        <w:t>Implementierungsfallstudie einer zweitägigen Schulen- und Gemeinde-Engagementinitiative zur HPV-Impfförderung in Lilongwe, Malawi (2025–2026).</w:t>
      </w:r>
    </w:p>
    <w:p>
      <w:r>
        <w:rPr>
          <w:b/>
        </w:rPr>
        <w:t xml:space="preserve">Ergebnis: </w:t>
      </w:r>
      <w:r>
        <w:t>Über 500 Mädchen (9–14 Jahre) wurden durch schulische Aufklärung erreicht, 45 Gemeindeakteure eingebunden, 100 berechtigte Mädchen geimpft. Zentrale Erfolgsfaktoren: Vertrauen zu Impfpersonal, Schulbeteiligung, Dialogformate, Unterstützung von Gemeindeleitern. Identifizierte Bedenken: Fertilitätsangst, Impfstoffsicherheit, Geschlechtszielung.</w:t>
      </w:r>
    </w:p>
    <w:p>
      <w:r>
        <w:rPr>
          <w:b/>
          <w:sz w:val="19"/>
        </w:rPr>
        <w:t xml:space="preserve">Übertragbarkeit: </w:t>
      </w:r>
      <w:r>
        <w:rPr>
          <w:sz w:val="19"/>
        </w:rPr>
        <w:t>Subsahara-Afrika; Strategien für vertrauensbasierte Gemeindemobilisierung teilweise auf Deutschland übertragbar</w:t>
      </w:r>
    </w:p>
    <w:p>
      <w:r>
        <w:rPr>
          <w:color w:val="5A7D3A"/>
          <w:sz w:val="18"/>
        </w:rPr>
        <w:t>https://pubmed.ncbi.nlm.nih.gov/42703762/</w:t>
      </w:r>
    </w:p>
    <w:p>
      <w:pPr>
        <w:pStyle w:val="Heading2"/>
      </w:pPr>
      <w:r>
        <w:t>COVID-19-Auffrischungsimpfung: Ländliche und städtische Disparitäten in Südbangladesh</w:t>
      </w:r>
    </w:p>
    <w:p>
      <w:r>
        <w:rPr>
          <w:i/>
          <w:color w:val="666666"/>
          <w:sz w:val="18"/>
        </w:rPr>
        <w:t>Nath Roy D et al.  ·  Risk Anal  ·  Sept. 2026  ·  PMID 42702940</w:t>
      </w:r>
    </w:p>
    <w:p>
      <w:r>
        <w:t>Querschnittsbeobachtungsstudie (Dezember 2023–März 2024) zu Akzeptanz und Prädiktoren der Auffrischungsimpfung in ländlichen (n=379) und städtischen (n=328) Populationen in Südbangladesh.</w:t>
      </w:r>
    </w:p>
    <w:p>
      <w:r>
        <w:rPr>
          <w:b/>
        </w:rPr>
        <w:t xml:space="preserve">Ergebnis: </w:t>
      </w:r>
      <w:r>
        <w:t>Akzeptanzquote 69,9% insgesamt, ländlich 62,5% (95%-KI: 60,6–64,8) vs. urban 78,4% (95%-KI: 76,2–80,6; p&lt;0,001). Nebenwirkungsangst negativ assoziiert in beiden Settings. Ländlich: Kommunikation, Vertrauen, sozialer Einfluss positiv assoziiert. Urban: Gemeinschaftsschutz und Risiko-Nutzen-Verhältnis signifikant; Unabhängigkeit von Nicht-Pharmaka negativ assoziiert.</w:t>
      </w:r>
    </w:p>
    <w:p>
      <w:r>
        <w:rPr>
          <w:b/>
          <w:sz w:val="19"/>
        </w:rPr>
        <w:t xml:space="preserve">Übertragbarkeit: </w:t>
      </w:r>
      <w:r>
        <w:rPr>
          <w:sz w:val="19"/>
        </w:rPr>
        <w:t>Bangladesch; Erkenntnisse zu Vertrauenslücken und Kommunikationshindernissen in Ländern mit niedriger Impfquote</w:t>
      </w:r>
    </w:p>
    <w:p>
      <w:r>
        <w:rPr>
          <w:color w:val="5A7D3A"/>
          <w:sz w:val="18"/>
        </w:rPr>
        <w:t>https://pubmed.ncbi.nlm.nih.gov/42702940/</w:t>
      </w:r>
    </w:p>
    <w:p>
      <w:pPr>
        <w:pStyle w:val="Heading2"/>
      </w:pPr>
      <w:r>
        <w:t>COVID-19-Impfquote bei Psychiatriepatienten in Bayern deutlich höher als in der Bevölkerung</w:t>
      </w:r>
    </w:p>
    <w:p>
      <w:r>
        <w:rPr>
          <w:i/>
          <w:color w:val="666666"/>
          <w:sz w:val="18"/>
        </w:rPr>
        <w:t>Aksar A et al.  ·  J Psychiatr Res  ·  12.08.2026  ·  PMID 42603342</w:t>
      </w:r>
    </w:p>
    <w:p>
      <w:r>
        <w:t>Retrospektive Analyse der COVID-19-Impfquoten bei psychiatrischen Patienten in stationärer und ambulanter Behandlung in Südostbayern (2022–2023) im Vergleich zur Allgemeinbevölkerung.</w:t>
      </w:r>
    </w:p>
    <w:p>
      <w:r>
        <w:rPr>
          <w:b/>
        </w:rPr>
        <w:t xml:space="preserve">Ergebnis: </w:t>
      </w:r>
      <w:r>
        <w:t>Ungeimpftenquote in der Studiengruppe (n=3.734 Fälle) 13,6% vs. Bayerndurchschnitt 15–20%; höhere Quoten bei älteren und weiblichen Patienten, niedrigere bei Alkohol- und Substanzabhängigen. Ergebnis deuted auf positive Effekte von stationären Impfangeboten hin, bedarf aber weiterer Erforschung.</w:t>
      </w:r>
    </w:p>
    <w:p>
      <w:r>
        <w:rPr>
          <w:b/>
          <w:sz w:val="19"/>
        </w:rPr>
        <w:t xml:space="preserve">Übertragbarkeit: </w:t>
      </w:r>
      <w:r>
        <w:rPr>
          <w:sz w:val="19"/>
        </w:rPr>
        <w:t>Deutsche Klinikdaten, eigene Impfdokumentation ohne Registeranbindung</w:t>
      </w:r>
    </w:p>
    <w:p>
      <w:r>
        <w:rPr>
          <w:color w:val="5A7D3A"/>
          <w:sz w:val="18"/>
        </w:rPr>
        <w:t>https://pubmed.ncbi.nlm.nih.gov/42603342/</w:t>
      </w:r>
    </w:p>
    <w:p>
      <w:pPr>
        <w:pStyle w:val="Heading2"/>
      </w:pPr>
      <w:r>
        <w:t>Neustart in der RSV-Prävention: Nirsevimab und mütterliche Vakzination reduzieren Hospitalisierungen</w:t>
      </w:r>
    </w:p>
    <w:p>
      <w:r>
        <w:rPr>
          <w:i/>
          <w:color w:val="666666"/>
          <w:sz w:val="18"/>
        </w:rPr>
        <w:t>Marchetti F  ·  Recenti Prog Med  ·  Juli 2026  ·  PMID 42459097</w:t>
      </w:r>
    </w:p>
    <w:p>
      <w:r>
        <w:t>Narrativer Übersichtsartikel zur neuen Ärade der RSV-Prävention in früher Kindheit durch langwirksames monoklonales Antikörper Nirsevimab und mütterliche RSVpreF-Impfung basierend auf Real-World Evidence.</w:t>
      </w:r>
    </w:p>
    <w:p>
      <w:r>
        <w:rPr>
          <w:b/>
        </w:rPr>
        <w:t xml:space="preserve">Ergebnis: </w:t>
      </w:r>
      <w:r>
        <w:t>Großangelegte bevölkerungsbasierte Studien (z.B. französische Studie mit &gt;160.000 Säuglingen) belegen wesentliche Reduktion von RSV-bedingten Hospitalisierungen, intensivmedizinischer Aufnahmen und Beatmungsbedarf bei Nirsevimab-geimpften Säuglingen. Mütterliche Impfung schützt transplazentar bei optimaler Timing; Nirsevimab bietet unabhängige Vorhersagbarkeit.</w:t>
      </w:r>
    </w:p>
    <w:p>
      <w:r>
        <w:rPr>
          <w:b/>
          <w:sz w:val="19"/>
        </w:rPr>
        <w:t xml:space="preserve">Übertragbarkeit: </w:t>
      </w:r>
      <w:r>
        <w:rPr>
          <w:sz w:val="19"/>
        </w:rPr>
        <w:t>Frankreich und europäische Daten zur Implementierungserfahrung; nationales Impfprogramm für Deutschland noch zu entwickeln</w:t>
      </w:r>
    </w:p>
    <w:p>
      <w:r>
        <w:rPr>
          <w:color w:val="5A7D3A"/>
          <w:sz w:val="18"/>
        </w:rPr>
        <w:t>https://pubmed.ncbi.nlm.nih.gov/42459097/</w:t>
      </w:r>
    </w:p>
    <w:p>
      <w:pPr>
        <w:pStyle w:val="Heading2"/>
      </w:pPr>
      <w:r>
        <w:t>Immunitätslücken bei Diphtherie, Tetanus und Keuchhusten in Norwegen</w:t>
      </w:r>
    </w:p>
    <w:p>
      <w:r>
        <w:rPr>
          <w:i/>
          <w:color w:val="666666"/>
          <w:sz w:val="18"/>
        </w:rPr>
        <w:t>Aase A et al.  ·  Vaccine  ·  30.08.2026  ·  PMID 42413320</w:t>
      </w:r>
    </w:p>
    <w:p>
      <w:r>
        <w:t>Serologische Querschnittsstudie an repräsentativer norwegischer Bevölkerung (n=3.051, Alter 2–95 Jahre) zur Antikörperprävalenz gegen sieben Impfkrankheiten.</w:t>
      </w:r>
    </w:p>
    <w:p>
      <w:r>
        <w:rPr>
          <w:b/>
        </w:rPr>
        <w:t xml:space="preserve">Ergebnis: </w:t>
      </w:r>
      <w:r>
        <w:t>39,8% der Frauen und 25,0% der Männer ≥60 Jahre unter Schutzwert Diphtherie; 76,5% bzw. 41,7% unter Schutzwert Tetanus. Bei 6-Jährigen: 20,7% unter Diphtherie-, 25,0% unter Tetanus-Schutzwert vor Auffrischung. Masern und Röteln ausreichend protektiv in allen Altersgruppen.</w:t>
      </w:r>
    </w:p>
    <w:p>
      <w:r>
        <w:rPr>
          <w:b/>
          <w:sz w:val="19"/>
        </w:rPr>
        <w:t xml:space="preserve">Übertragbarkeit: </w:t>
      </w:r>
      <w:r>
        <w:rPr>
          <w:sz w:val="19"/>
        </w:rPr>
        <w:t>Nordeuropäisches Impfregister ermöglicht präzise Kohortenabfrage; Empfehlungskalender und Auffrischungsintervalle nicht direkt auf Deutschland übertragbar</w:t>
      </w:r>
    </w:p>
    <w:p>
      <w:r>
        <w:rPr>
          <w:color w:val="5A7D3A"/>
          <w:sz w:val="18"/>
        </w:rPr>
        <w:t>https://pubmed.ncbi.nlm.nih.gov/42413320/</w:t>
      </w:r>
    </w:p>
    <w:p>
      <w:pPr>
        <w:pStyle w:val="Heading1"/>
      </w:pPr>
      <w:r>
        <w:t>Aufgenommen am 07.09.2026</w:t>
      </w:r>
    </w:p>
    <w:p>
      <w:pPr>
        <w:pStyle w:val="Heading2"/>
      </w:pPr>
      <w:r>
        <w:t>HPV-Impfbereitschaft männlicher Studierender: Krankheitserkennung stärker als Dienstleistungsbewusstsein</w:t>
      </w:r>
    </w:p>
    <w:p>
      <w:r>
        <w:rPr>
          <w:i/>
          <w:color w:val="666666"/>
          <w:sz w:val="18"/>
        </w:rPr>
        <w:t>Zhang Y et al.  ·  Front Public Health  ·  21.08.2026  ·  PMID 42698614</w:t>
      </w:r>
    </w:p>
    <w:p>
      <w:r>
        <w:t>Querschnittsumfrage mit 4.260 männlichen Studierenden in China (Festland, Hongkong, Macau, Ausland) zur Bereitschaft für Grenzüberschreitungs-HPV-Impfung (2025–2026).</w:t>
      </w:r>
    </w:p>
    <w:p>
      <w:r>
        <w:rPr>
          <w:b/>
        </w:rPr>
        <w:t xml:space="preserve">Ergebnis: </w:t>
      </w:r>
      <w:r>
        <w:t>74,7% (3.182/4.260) zeigten Bereitschaft für Grenzüberschreitung. Krankheitserkennung war dominantester Faktor: Teilnehmer ohne Erkennung ≥1 HPV-assoziierter Erkrankung hatten deutlich niedrigere Quote (aOR=0,041, 95%-KI 0,017–0,095, p&lt;0,001). Bewusstsein für Grenzüberschreitungsangebot schwach positiv (aOR=1,233, p=0,008). Schulische HPV-Aufklärung (aOR=1,203, p=0,044) und höheres Klassenniveau (aOR=1,111 pro Stufe, p=0,012) assoziiert.</w:t>
      </w:r>
    </w:p>
    <w:p>
      <w:r>
        <w:rPr>
          <w:b/>
          <w:sz w:val="19"/>
        </w:rPr>
        <w:t xml:space="preserve">Übertragbarkeit: </w:t>
      </w:r>
      <w:r>
        <w:rPr>
          <w:sz w:val="19"/>
        </w:rPr>
        <w:t>China – kulturell/system-spezifisch, Erkenntnisse zu Edukationsbedarf und männlicher Impfskepsis aber verallgemeinerbar</w:t>
      </w:r>
    </w:p>
    <w:p>
      <w:r>
        <w:rPr>
          <w:color w:val="5A7D3A"/>
          <w:sz w:val="18"/>
        </w:rPr>
        <w:t>https://pubmed.ncbi.nlm.nih.gov/42698614/</w:t>
      </w:r>
    </w:p>
    <w:p>
      <w:pPr>
        <w:pStyle w:val="Heading2"/>
      </w:pPr>
      <w:r>
        <w:t>Neutralisierende Antikörper senken Risiko für schwere COVID-19 um durchschnittlich 43 %</w:t>
      </w:r>
    </w:p>
    <w:p>
      <w:r>
        <w:rPr>
          <w:i/>
          <w:color w:val="666666"/>
          <w:sz w:val="18"/>
        </w:rPr>
        <w:t>Elias KM et al.  ·  PLoS Med  ·  02.09.2026  ·  PMID 42685247</w:t>
      </w:r>
    </w:p>
    <w:p>
      <w:r>
        <w:t>Meta-Analyse von 25 klinischen Studien zur Wirksamkeit vakzininduzierten Neutralisierungstitern gegen Progression zu schwerem COVID-19 bei Infizierten.</w:t>
      </w:r>
    </w:p>
    <w:p>
      <w:r>
        <w:rPr>
          <w:b/>
        </w:rPr>
        <w:t xml:space="preserve">Ergebnis: </w:t>
      </w:r>
      <w:r>
        <w:t>Zehnfacher Anstieg der Neutralisierungstiter senkt relatives Progressionsrisiko zu schwerer Erkrankung um 43% (RR 0,57, 95%-KI [0,51–0,64], p&lt;0,001). Schutz durch Impfung übertrifft passiv verabreichte Antikörper, deutet aber auch auf zusätzliche T-Zell-Mechanismen hin.</w:t>
      </w:r>
    </w:p>
    <w:p>
      <w:r>
        <w:rPr>
          <w:b/>
          <w:sz w:val="19"/>
        </w:rPr>
        <w:t xml:space="preserve">Übertragbarkeit: </w:t>
      </w:r>
      <w:r>
        <w:rPr>
          <w:sz w:val="19"/>
        </w:rPr>
        <w:t>Australien/international – laborbasierte Korrelate, mechanistischer Befund übertragbar auf deutsche Population</w:t>
      </w:r>
    </w:p>
    <w:p>
      <w:r>
        <w:rPr>
          <w:color w:val="5A7D3A"/>
          <w:sz w:val="18"/>
        </w:rPr>
        <w:t>https://pubmed.ncbi.nlm.nih.gov/42685247/</w:t>
      </w:r>
    </w:p>
    <w:p>
      <w:pPr>
        <w:pStyle w:val="Heading2"/>
      </w:pPr>
      <w:r>
        <w:t>Sicherheit von fünf COVID-19-Impfstoffen: Vergleich von Laborprüfung und Pharmakovigilanz</w:t>
      </w:r>
    </w:p>
    <w:p>
      <w:r>
        <w:rPr>
          <w:i/>
          <w:color w:val="666666"/>
          <w:sz w:val="18"/>
        </w:rPr>
        <w:t>Ren L et al.  ·  Trends Cancer  ·  09.07.2026  ·  PMID 42425835</w:t>
      </w:r>
    </w:p>
    <w:p>
      <w:r>
        <w:t>Vergleichende Analyse von Nichtkliniksicherheitsstudien und Pharmakovigilanzüberwachung zu fünf in Frankreich autorisierten COVID-19-Impfstoffen (Comirnaty, Spikevax, Vaxzevria, Jcovden, Nuvaxovid).</w:t>
      </w:r>
    </w:p>
    <w:p>
      <w:r>
        <w:rPr>
          <w:b/>
        </w:rPr>
        <w:t xml:space="preserve">Ergebnis: </w:t>
      </w:r>
      <w:r>
        <w:t>Reaktogenität bei Vektor-Impfstoffen höher als mRNA-Stoffen. Für seltene Ereignisse (Myokarditis, VITT) zeigten nichtklische Modelle begrenzte Vorhersagekraft. Troponin als klinischer Biomarker identifiziert; Harmonisierung der Biomarker-Überwachung empfohlen – klinische Phänomene wurden durch Labortests nicht vorhergesagt.</w:t>
      </w:r>
    </w:p>
    <w:p>
      <w:r>
        <w:rPr>
          <w:b/>
          <w:sz w:val="19"/>
        </w:rPr>
        <w:t xml:space="preserve">Übertragbarkeit: </w:t>
      </w:r>
      <w:r>
        <w:rPr>
          <w:sz w:val="19"/>
        </w:rPr>
        <w:t>Frankreich/Europa – europäische Zulassungsdaten, PV-Praktiken, pharmakovigilanzregeln vergleichbar</w:t>
      </w:r>
    </w:p>
    <w:p>
      <w:r>
        <w:rPr>
          <w:color w:val="5A7D3A"/>
          <w:sz w:val="18"/>
        </w:rPr>
        <w:t>https://pubmed.ncbi.nlm.nih.gov/42425835/</w:t>
      </w:r>
    </w:p>
    <w:p>
      <w:pPr>
        <w:pStyle w:val="Heading2"/>
      </w:pPr>
      <w:r>
        <w:t>Pneumokokken-Impfquote bei immunsupprimierten Personen in England deutlich unter Zielwert</w:t>
      </w:r>
    </w:p>
    <w:p>
      <w:r>
        <w:rPr>
          <w:i/>
          <w:color w:val="666666"/>
          <w:sz w:val="18"/>
        </w:rPr>
        <w:t>Meza B et al.  ·  JMIR Res Protoc  ·  09.07.2026  ·  PMID 42424613</w:t>
      </w:r>
    </w:p>
    <w:p>
      <w:r>
        <w:t>Retrospektive Kohortenstudie mit Registerdaten von 2025 bis 2026 zur Impfquote bei Erwachsenen mit Immunsuppression in primärärztlicher Versorgung (Oxford-RCGP-Netzwerk).</w:t>
      </w:r>
    </w:p>
    <w:p>
      <w:r>
        <w:rPr>
          <w:b/>
        </w:rPr>
        <w:t xml:space="preserve">Ergebnis: </w:t>
      </w:r>
      <w:r>
        <w:t>Pneumokokken-Impfquote in der immunsupprimierten Population bleibt eine Unbekannte, die Studie befindet sich noch in Analyse (Ergebnisse für 2026 erwartet). Ziel: Disaggregierte Berichte über Impfquoten nach Immunsuppression-Grund, sozioökonomischem Gradienten und ethnischer Gruppe. Erkenntes Problem: Breite Lücke bei hochrisikogruppenspezifischen Impfquoten-Daten.</w:t>
      </w:r>
    </w:p>
    <w:p>
      <w:r>
        <w:rPr>
          <w:b/>
          <w:sz w:val="19"/>
        </w:rPr>
        <w:t xml:space="preserve">Übertragbarkeit: </w:t>
      </w:r>
      <w:r>
        <w:rPr>
          <w:sz w:val="19"/>
        </w:rPr>
        <w:t>Großbritannien – vergleichbares NHS-System, aber kein deutsches Impfregister; Qualität hängt von Registerdatenverfügbarkeit ab</w:t>
      </w:r>
    </w:p>
    <w:p>
      <w:r>
        <w:rPr>
          <w:color w:val="5A7D3A"/>
          <w:sz w:val="18"/>
        </w:rPr>
        <w:t>https://pubmed.ncbi.nlm.nih.gov/42424613/</w:t>
      </w:r>
    </w:p>
    <w:p>
      <w:pPr>
        <w:pStyle w:val="Heading2"/>
      </w:pPr>
      <w:r>
        <w:t>COVID-Impfmandates als Anreiz-Instrumente: 7S-Rahmen für Mandatspolitik</w:t>
      </w:r>
    </w:p>
    <w:p>
      <w:r>
        <w:rPr>
          <w:i/>
          <w:color w:val="666666"/>
          <w:sz w:val="18"/>
        </w:rPr>
        <w:t>Duong H et al.  ·  Glob Public Health  ·  31.12.2026  ·  PMID 42421423</w:t>
      </w:r>
    </w:p>
    <w:p>
      <w:r>
        <w:t>Qualitative Analyse von Impfmandaten in sechs Ländern (Australien, Frankreich, Israel, Malaysia, Singapur, Vietnam) zur Unterscheidung zwischen Zwang und Anreizen.</w:t>
      </w:r>
    </w:p>
    <w:p>
      <w:r>
        <w:rPr>
          <w:b/>
        </w:rPr>
        <w:t xml:space="preserve">Ergebnis: </w:t>
      </w:r>
      <w:r>
        <w:t>Mandate funktionierten überwiegend als Anreize zur Wiederherstellung von Grundrechten (Arbeit, Reisen, öffentliche Räume), die durch Lockdowns entzogen wurden. Theoretischer Rahmen zeigt: Konzeptionelle Definition muss zwischen «Entziehung-Wiederherstellung» und echtem Zwang unterscheiden. Kernaussage für Mandatsforschung: Kontext von Pandemie-Restriktionen prägt Wahrnehmung und Effektivität erheblich.</w:t>
      </w:r>
    </w:p>
    <w:p>
      <w:r>
        <w:rPr>
          <w:b/>
          <w:sz w:val="19"/>
        </w:rPr>
        <w:t xml:space="preserve">Übertragbarkeit: </w:t>
      </w:r>
      <w:r>
        <w:rPr>
          <w:sz w:val="19"/>
        </w:rPr>
        <w:t>Internationale Perspektive – Policyanalyse, weniger direkt auf deutsches System übertragbar, aber konzeptuell relevant für Impfpflicht-Debatten</w:t>
      </w:r>
    </w:p>
    <w:p>
      <w:r>
        <w:rPr>
          <w:color w:val="5A7D3A"/>
          <w:sz w:val="18"/>
        </w:rPr>
        <w:t>https://pubmed.ncbi.nlm.nih.gov/42421423/</w:t>
      </w:r>
    </w:p>
    <w:p>
      <w:pPr>
        <w:pStyle w:val="Heading2"/>
      </w:pPr>
      <w:r>
        <w:t>Video-Intervention steigert Impfbewusstsein bei psychischen Erkrankungen, nicht Impfbereitschaft</w:t>
      </w:r>
    </w:p>
    <w:p>
      <w:r>
        <w:rPr>
          <w:i/>
          <w:color w:val="666666"/>
          <w:sz w:val="18"/>
        </w:rPr>
        <w:t>Huth D et al.  ·  Front Public Health  ·  23.06.2026  ·  PMID 42415765</w:t>
      </w:r>
    </w:p>
    <w:p>
      <w:r>
        <w:t>Randomisierte Online-Studie mit 639 deutschsprachigen Teilnehmern (24,4% mit selbstberichteter psychischer Störung) zur Wirkung eines Aufklärungsvideos auf COVID-19-Impfakzeptanz bei vulnerablen Gruppen.</w:t>
      </w:r>
    </w:p>
    <w:p>
      <w:r>
        <w:rPr>
          <w:b/>
        </w:rPr>
        <w:t xml:space="preserve">Ergebnis: </w:t>
      </w:r>
      <w:r>
        <w:t>Video erhöhte Risikobewusstsein signifikant (p=0,010, d=0,21) und Verständnis für Impfung bei psychischen Erkrankungen (p=0,033, d=0,17), steigerte aber nicht die Impfbereitschaft. Versorgungslücke bleibt offen: Psychisch kranke Menschen zeigen höhere wahrgenommene Anfälligkeit (p=0,032, d=0,36), aber Aufklärung allein führt zu keinem Verhaltenswechsel.</w:t>
      </w:r>
    </w:p>
    <w:p>
      <w:r>
        <w:rPr>
          <w:b/>
          <w:sz w:val="19"/>
        </w:rPr>
        <w:t xml:space="preserve">Übertragbarkeit: </w:t>
      </w:r>
      <w:r>
        <w:rPr>
          <w:sz w:val="19"/>
        </w:rPr>
        <w:t>Deutschland – Teilnehmer aus deutscher Bevölkerung, lokale Vulnerabilitätsgruppen</w:t>
      </w:r>
    </w:p>
    <w:p>
      <w:r>
        <w:rPr>
          <w:color w:val="5A7D3A"/>
          <w:sz w:val="18"/>
        </w:rPr>
        <w:t>https://pubmed.ncbi.nlm.nih.gov/42415765/</w:t>
      </w:r>
    </w:p>
    <w:p>
      <w:pPr>
        <w:pStyle w:val="Heading1"/>
      </w:pPr>
      <w:r>
        <w:t>Aufgenommen am 06.09.2026</w:t>
      </w:r>
    </w:p>
    <w:p>
      <w:pPr>
        <w:pStyle w:val="Heading2"/>
      </w:pPr>
      <w:r>
        <w:t>Tetanus-Schutzimpfungen bei Frauen in Afghanistan: massive Deckungslücken</w:t>
      </w:r>
    </w:p>
    <w:p>
      <w:r>
        <w:rPr>
          <w:i/>
          <w:color w:val="666666"/>
          <w:sz w:val="18"/>
        </w:rPr>
        <w:t>Stanikzai MH et al.  ·  Hum Vaccin Immunother  ·  02.09.2026  ·  PMID 42683523</w:t>
      </w:r>
    </w:p>
    <w:p>
      <w:r>
        <w:t>Nationale Survey mit 12450 verheirateten Frauen in Afghanistan untersuchte Tetanus-Impfquoten und deren Assoziationen.</w:t>
      </w:r>
    </w:p>
    <w:p>
      <w:r>
        <w:rPr>
          <w:b/>
        </w:rPr>
        <w:t xml:space="preserve">Ergebnis: </w:t>
      </w:r>
      <w:r>
        <w:t>Nur 49,9% mit adäquater TT-Immunisierung. Höhere Quote bei sekundärer/höherer Bildung (AOR=1,57), bei ≥4 Antenatal-Care-Besuchen (AOR=4,67), in Regionen mit besserer Infrastruktur. Geringere Quote bei Frauen ≥40 Jahren (AOR=0,76) und in Ost- und Westregionen. Zeigt massive Ungleichheit.</w:t>
      </w:r>
    </w:p>
    <w:p>
      <w:r>
        <w:rPr>
          <w:b/>
          <w:sz w:val="19"/>
        </w:rPr>
        <w:t xml:space="preserve">Übertragbarkeit: </w:t>
      </w:r>
      <w:r>
        <w:rPr>
          <w:sz w:val="19"/>
        </w:rPr>
        <w:t>Afghanistan-spezifisch, aber Methode zur Identifikation von Zugangsbarrieren übertragbar</w:t>
      </w:r>
    </w:p>
    <w:p>
      <w:r>
        <w:rPr>
          <w:color w:val="5A7D3A"/>
          <w:sz w:val="18"/>
        </w:rPr>
        <w:t>https://pubmed.ncbi.nlm.nih.gov/42683523/</w:t>
      </w:r>
    </w:p>
    <w:p>
      <w:pPr>
        <w:pStyle w:val="Heading2"/>
      </w:pPr>
      <w:r>
        <w:t>Masern-Antikörperwaning gefährdet Herdenimmunität trotz hoher Impfquoten</w:t>
      </w:r>
    </w:p>
    <w:p>
      <w:r>
        <w:rPr>
          <w:i/>
          <w:color w:val="666666"/>
          <w:sz w:val="18"/>
        </w:rPr>
        <w:t>Wang W et al.  ·  Front Immunol  ·  18.08.2026  ·  PMID 42682682</w:t>
      </w:r>
    </w:p>
    <w:p>
      <w:r>
        <w:t>Chinesische Serologie-Studie mit 2083 Teilnehmern untersuchte Masern-Antikörper-Persistenz und Immunitätslücken nach Elimination des Wildvirus.</w:t>
      </w:r>
    </w:p>
    <w:p>
      <w:r>
        <w:rPr>
          <w:b/>
        </w:rPr>
        <w:t xml:space="preserve">Ergebnis: </w:t>
      </w:r>
      <w:r>
        <w:t>Gesamte Seropositiv-Quote 84,59%, aber Antikörper-Spiegel zeigten nicht-linearen Rückgang mit Zeit. Kinder 8–17 Monate: nur 28,13% Seropositiv. Jedes Jahr seit letzter Impfung erhöhte Seronegativi-Risiko um 11% (AOR=1,11). Dies zeigt erhebliche Immunitätslücken trotz hoher MCV-Abdeckung.</w:t>
      </w:r>
    </w:p>
    <w:p>
      <w:r>
        <w:rPr>
          <w:b/>
          <w:sz w:val="19"/>
        </w:rPr>
        <w:t xml:space="preserve">Übertragbarkeit: </w:t>
      </w:r>
      <w:r>
        <w:rPr>
          <w:sz w:val="19"/>
        </w:rPr>
        <w:t>Epidemiologische Erkenntnisse übertragbar auf systematische Surveillance-Überwachung</w:t>
      </w:r>
    </w:p>
    <w:p>
      <w:r>
        <w:rPr>
          <w:color w:val="5A7D3A"/>
          <w:sz w:val="18"/>
        </w:rPr>
        <w:t>https://pubmed.ncbi.nlm.nih.gov/42682682/</w:t>
      </w:r>
    </w:p>
    <w:p>
      <w:pPr>
        <w:pStyle w:val="Heading2"/>
      </w:pPr>
      <w:r>
        <w:t>HPV-Impfschutz bestätigt trotz hoher Prävalenz nicht-geimpfter Typen</w:t>
      </w:r>
    </w:p>
    <w:p>
      <w:r>
        <w:rPr>
          <w:i/>
          <w:color w:val="666666"/>
          <w:sz w:val="18"/>
        </w:rPr>
        <w:t>Gross S et al.  ·  Arch Virol  ·  28.08.2026  ·  PMID 42663706</w:t>
      </w:r>
    </w:p>
    <w:p>
      <w:r>
        <w:t>Französische Studie untersuchte HPV-Genotypen bei 464 geimpften Frauen zur Bewertung der Impfeffektivität unter Alltagsbedingungen.</w:t>
      </w:r>
    </w:p>
    <w:p>
      <w:r>
        <w:rPr>
          <w:b/>
        </w:rPr>
        <w:t xml:space="preserve">Ergebnis: </w:t>
      </w:r>
      <w:r>
        <w:t>HPV16/18-Prävalenz lag bei nur 4,3%, was die Impfeffektivität bestätigt. Allerdings wurden hochrisiko-HPV-Typen (52, 51, 56) in 8,2–5,8% nachgewiesen, die nicht in Bivalent- oder Quadrivalent-Impfstoffen enthalten sind. Dies unterstreicht die Überlegenheit nonavalenter Impfstoffe.</w:t>
      </w:r>
    </w:p>
    <w:p>
      <w:r>
        <w:rPr>
          <w:b/>
          <w:sz w:val="19"/>
        </w:rPr>
        <w:t xml:space="preserve">Übertragbarkeit: </w:t>
      </w:r>
      <w:r>
        <w:rPr>
          <w:sz w:val="19"/>
        </w:rPr>
        <w:t>Frankreich, vergleichbares Versicherungssystem, Screening-Daten verfügbar</w:t>
      </w:r>
    </w:p>
    <w:p>
      <w:r>
        <w:rPr>
          <w:color w:val="5A7D3A"/>
          <w:sz w:val="18"/>
        </w:rPr>
        <w:t>https://pubmed.ncbi.nlm.nih.gov/42663706/</w:t>
      </w:r>
    </w:p>
    <w:p>
      <w:pPr>
        <w:pStyle w:val="Heading2"/>
      </w:pPr>
      <w:r>
        <w:t>HBV-Therapeutische Impfung zeigt Immunantwort, aber keine funktionale Heilung</w:t>
      </w:r>
    </w:p>
    <w:p>
      <w:r>
        <w:rPr>
          <w:i/>
          <w:color w:val="666666"/>
          <w:sz w:val="18"/>
        </w:rPr>
        <w:t>Jeng WJ et al.  ·  Hepatol Commun  ·  01.09.2026  ·  PMID 42623526</w:t>
      </w:r>
    </w:p>
    <w:p>
      <w:r>
        <w:t>Phase-1/2-RCT mit 134 Patienten mit chronischer Hepatitis B unter Nukleos(t)id-Analoga testete heterologe prime-boost Impfstrategie.</w:t>
      </w:r>
    </w:p>
    <w:p>
      <w:r>
        <w:rPr>
          <w:b/>
        </w:rPr>
        <w:t xml:space="preserve">Ergebnis: </w:t>
      </w:r>
      <w:r>
        <w:t>Kein HBsAg-Verlust oder ≥1-log-Reduktion bei allen 134 Patienten (primärer Endpunkt verfehlt). Co-Gabe induzierte stärkste Anti-HBs-Antwort (73,7% ≥10 mIU/mL vs. 40% sequential). Grade-3-AE häufiger bei Co-Gabe (59,3% systemisch). CD4+/CD8+ T-Zell-Antworten nachgewiesen, aber begrenzte klinische Wirksamkeit.</w:t>
      </w:r>
    </w:p>
    <w:p>
      <w:r>
        <w:rPr>
          <w:b/>
          <w:sz w:val="19"/>
        </w:rPr>
        <w:t xml:space="preserve">Übertragbarkeit: </w:t>
      </w:r>
      <w:r>
        <w:rPr>
          <w:sz w:val="19"/>
        </w:rPr>
        <w:t>Europäische und internationale Zentren, vergleichbar mit deutschem Versicherungssystem</w:t>
      </w:r>
    </w:p>
    <w:p>
      <w:r>
        <w:rPr>
          <w:color w:val="5A7D3A"/>
          <w:sz w:val="18"/>
        </w:rPr>
        <w:t>https://pubmed.ncbi.nlm.nih.gov/42623526/</w:t>
      </w:r>
    </w:p>
    <w:p>
      <w:pPr>
        <w:pStyle w:val="Heading2"/>
      </w:pPr>
      <w:r>
        <w:t>Computergestützte Prognosen in Schwedens COVID-Impfphase: Forschung ohne Politikbezug</w:t>
      </w:r>
    </w:p>
    <w:p>
      <w:r>
        <w:rPr>
          <w:i/>
          <w:color w:val="666666"/>
          <w:sz w:val="18"/>
        </w:rPr>
        <w:t>Jöud AS et al.  ·  BMC Health Serv Res  ·  10.07.2026  ·  PMID 42432642</w:t>
      </w:r>
    </w:p>
    <w:p>
      <w:r>
        <w:t>Systematische Literaturübersicht bewertete 6 peer-reviewte Computerprognosestudien mit Schwedendaten zur COVID-19-Impfphase 2020–2023.</w:t>
      </w:r>
    </w:p>
    <w:p>
      <w:r>
        <w:rPr>
          <w:b/>
        </w:rPr>
        <w:t xml:space="preserve">Ergebnis: </w:t>
      </w:r>
      <w:r>
        <w:t>Alle 6 Studien zeigten Bayesianische Kalibrierung als Methode, aber keine externe Modellvalidation. Kein einziger Artikel bezog sich auf Politikentscheidungen als primären Forschungskontext. Schluss: Computergestützte Forschung diente Modellentwicklung, nicht Politikunterstützung – Kluft zwischen Forschung und Versorgungsbedarf.</w:t>
      </w:r>
    </w:p>
    <w:p>
      <w:r>
        <w:rPr>
          <w:b/>
          <w:sz w:val="19"/>
        </w:rPr>
        <w:t xml:space="preserve">Übertragbarkeit: </w:t>
      </w:r>
      <w:r>
        <w:rPr>
          <w:sz w:val="19"/>
        </w:rPr>
        <w:t>Schweden, zeigte methodische Lücke bei Verankerung von Forschung in Versorgungspraxis</w:t>
      </w:r>
    </w:p>
    <w:p>
      <w:r>
        <w:rPr>
          <w:color w:val="5A7D3A"/>
          <w:sz w:val="18"/>
        </w:rPr>
        <w:t>https://pubmed.ncbi.nlm.nih.gov/42432642/</w:t>
      </w:r>
    </w:p>
    <w:p>
      <w:pPr>
        <w:pStyle w:val="Heading2"/>
      </w:pPr>
      <w:r>
        <w:t>PCV21 kosteneffektiver als PCV20 in Dänemarks Pneumokokken-Impfprogramm</w:t>
      </w:r>
    </w:p>
    <w:p>
      <w:r>
        <w:rPr>
          <w:i/>
          <w:color w:val="666666"/>
          <w:sz w:val="18"/>
        </w:rPr>
        <w:t>Sharomi O et al.  ·  Expert Rev Pharmacoecon Outcomes Res  ·  10.07.2026  ·  PMID 42421526</w:t>
      </w:r>
    </w:p>
    <w:p>
      <w:r>
        <w:t>Dänemark: Modellanalyse verglich 100-Jahres-Gesundheitsfolgen von PCV21- vs. PCV20-Programm für Erwachsene ≥65 Jahre.</w:t>
      </w:r>
    </w:p>
    <w:p>
      <w:r>
        <w:rPr>
          <w:b/>
        </w:rPr>
        <w:t xml:space="preserve">Ergebnis: </w:t>
      </w:r>
      <w:r>
        <w:t>PCV21 gegenüber PCV20: 29309 NBPP-Fälle, 627 IPD-Fälle und 1312 Todesfälle vermieden über 100 Jahre. 835,2 Mio. dänische Kronen Kosteneinsparung, 759 QALY-Gewinn. ICER-Wert zeigt kostenspannung dominante Strategie (dominant = Einsparungen + bessere Outcomes).</w:t>
      </w:r>
    </w:p>
    <w:p>
      <w:r>
        <w:rPr>
          <w:b/>
          <w:sz w:val="19"/>
        </w:rPr>
        <w:t xml:space="preserve">Übertragbarkeit: </w:t>
      </w:r>
      <w:r>
        <w:rPr>
          <w:sz w:val="19"/>
        </w:rPr>
        <w:t>Dänemark, vergleichbares nordeuropäisches Versicherungssystem und Impfkalender</w:t>
      </w:r>
    </w:p>
    <w:p>
      <w:r>
        <w:rPr>
          <w:color w:val="5A7D3A"/>
          <w:sz w:val="18"/>
        </w:rPr>
        <w:t>https://pubmed.ncbi.nlm.nih.gov/42421526/</w:t>
      </w:r>
    </w:p>
    <w:p>
      <w:pPr>
        <w:pStyle w:val="Heading1"/>
      </w:pPr>
      <w:r>
        <w:t>Aufgenommen am 05.09.2026</w:t>
      </w:r>
    </w:p>
    <w:p>
      <w:pPr>
        <w:pStyle w:val="Heading2"/>
      </w:pPr>
      <w:r>
        <w:t>Influenza-Impfeffektivität gegen Hospitalisierung bei Erwachsenen mit chronischen Erkrankungen</w:t>
      </w:r>
    </w:p>
    <w:p>
      <w:r>
        <w:rPr>
          <w:i/>
          <w:color w:val="666666"/>
          <w:sz w:val="18"/>
        </w:rPr>
        <w:t>Toledo D et al.  ·  Influenza Other Respir Viruses  ·  Sept. 2026  ·  PMID 42693773</w:t>
      </w:r>
    </w:p>
    <w:p>
      <w:r>
        <w:t>Multizentrisches Fall-Kontroll-Verfahren aus 17 spanischen Krankenhäusern zur Bestimmung der klinischen Effektivität der saisonalen Influenzaimpfung bei hospitalisiert behandelten Erwachsenen (15–64 Jahre) mit vorbestehenden medizinischen Erkrankungen über drei Influenzajahreszeiten.</w:t>
      </w:r>
    </w:p>
    <w:p>
      <w:r>
        <w:rPr>
          <w:b/>
        </w:rPr>
        <w:t xml:space="preserve">Ergebnis: </w:t>
      </w:r>
      <w:r>
        <w:t>Von 1.220 hospitalisierten Erwachsenen waren 25,2 % geimpft. Die Impfeffektivität variierte nach Saison, Altersgruppe und Virus-Subtyp; statistisch signifikanter Schutz wurde für alle Jahreszeiten gemeinsam gegen A(H3N2) beobachtet, einzelne Jahreszeiten zeigten keine signifikanten Unterschiede. Die Studie unterstreicht geringe saisonale Influenzaimpfquoten in dieser Bevölkerungsgruppe und die Notwendigkeit verbesserter Impfstrategien.</w:t>
      </w:r>
    </w:p>
    <w:p>
      <w:r>
        <w:rPr>
          <w:b/>
          <w:sz w:val="19"/>
        </w:rPr>
        <w:t xml:space="preserve">Übertragbarkeit: </w:t>
      </w:r>
      <w:r>
        <w:rPr>
          <w:sz w:val="19"/>
        </w:rPr>
        <w:t>Spanien, vergleichbares Gesundheitssystem; Hospitalisierungsdaten messbar</w:t>
      </w:r>
    </w:p>
    <w:p>
      <w:r>
        <w:rPr>
          <w:color w:val="5A7D3A"/>
          <w:sz w:val="18"/>
        </w:rPr>
        <w:t>https://pubmed.ncbi.nlm.nih.gov/42693773/</w:t>
      </w:r>
    </w:p>
    <w:p>
      <w:pPr>
        <w:pStyle w:val="Heading2"/>
      </w:pPr>
      <w:r>
        <w:t>Klima und Impfung als Determinanten für Durchfall-Morbidität in afrikanischen Ländern</w:t>
      </w:r>
    </w:p>
    <w:p>
      <w:r>
        <w:rPr>
          <w:i/>
          <w:color w:val="666666"/>
          <w:sz w:val="18"/>
        </w:rPr>
        <w:t>Kowalcyk M et al.  ·  Nat Commun  ·  06.08.2026  ·  PMID 42693103</w:t>
      </w:r>
    </w:p>
    <w:p>
      <w:r>
        <w:t>Sekundäranalyse der Global Enteric Multicenter Study (GEMS) und VIDA-Studie zur Rolle von Klima und sozioökonomischen Vulnerabilitätsfaktoren bei der Vorhersage pathogenspezifischer Durchfall-Erkrankungen bei Kindern in Gambia, Kenia und Mali.</w:t>
      </w:r>
    </w:p>
    <w:p>
      <w:r>
        <w:rPr>
          <w:b/>
        </w:rPr>
        <w:t xml:space="preserve">Ergebnis: </w:t>
      </w:r>
      <w:r>
        <w:t>Soziodemografische Vulnerabilität (Transport-, Fernseh-, Stromzugang) und Rotavirus-Impfeinführung modifizierten die Assoziation zwischen Wetter und moderatem-schwerem Durchfall. Diese Modifikationen waren standort- und pathogenspezifisch. Bevölkerungszahl war stärkster Prädiktor (SHAP mean absolute 0,167 für Inzidenz). Die Studie zeigt, dass Vulnerabilitätsfaktoren mit variable pathogenspezifischen Erkrankungsrisiken korreliert sind.</w:t>
      </w:r>
    </w:p>
    <w:p>
      <w:r>
        <w:rPr>
          <w:b/>
          <w:sz w:val="19"/>
        </w:rPr>
        <w:t xml:space="preserve">Übertragbarkeit: </w:t>
      </w:r>
      <w:r>
        <w:rPr>
          <w:sz w:val="19"/>
        </w:rPr>
        <w:t>Afrika; Vulnerabilität und Impfprogramme, Versorgungsforschung in ressourcenlimitierten Settings</w:t>
      </w:r>
    </w:p>
    <w:p>
      <w:r>
        <w:rPr>
          <w:color w:val="5A7D3A"/>
          <w:sz w:val="18"/>
        </w:rPr>
        <w:t>https://pubmed.ncbi.nlm.nih.gov/42693103/</w:t>
      </w:r>
    </w:p>
    <w:p>
      <w:pPr>
        <w:pStyle w:val="Heading2"/>
      </w:pPr>
      <w:r>
        <w:t>Barrieren und Beförderer der HPV-Impfakzeptanz in Pakistan vor Programmstart</w:t>
      </w:r>
    </w:p>
    <w:p>
      <w:r>
        <w:rPr>
          <w:i/>
          <w:color w:val="666666"/>
          <w:sz w:val="18"/>
        </w:rPr>
        <w:t>Noreen K et al.  ·  Hum Vaccin Immunother  ·  03.09.2026  ·  PMID 42692950</w:t>
      </w:r>
    </w:p>
    <w:p>
      <w:r>
        <w:t>Qualitative Studie mit Fokusgruppen und Interviews bei Community Worker, Gesundheitspersonal, Lehrkräften, Mädchen und Eltern zur Erfassung von Hemmnissen und Förderungsfaktoren der HPV-Impfakzeptanz vor dem ersten nationalen HPV-Impfprogramm in Pakistan.</w:t>
      </w:r>
    </w:p>
    <w:p>
      <w:r>
        <w:rPr>
          <w:b/>
        </w:rPr>
        <w:t xml:space="preserve">Ergebnis: </w:t>
      </w:r>
      <w:r>
        <w:t>Barrieren: Furcht vor Nebenwirkungen, Impfskepsis, Fehlinformation über soziale Medien, religiöse Wahrnehmungen, patriarchale Entscheidungsfindung, Wartezeitprobleme, Widerstand in der Gemeinde. Beförderer: Erkenntnis des Impfnutzens, unterstützende Familie und Gemeinschaftsnormen, Gesundheitsfachleute-Beratung, religiöse Argumente, aufsuchende Dienste und Vertrauenspersonen wie Schulleitung. Die Befunde unterstreichen Bedarf für kulturell sensible, vertrauensaufbauende Strategien über klinischen Ansatz hinaus.</w:t>
      </w:r>
    </w:p>
    <w:p>
      <w:r>
        <w:rPr>
          <w:b/>
          <w:sz w:val="19"/>
        </w:rPr>
        <w:t xml:space="preserve">Übertragbarkeit: </w:t>
      </w:r>
      <w:r>
        <w:rPr>
          <w:sz w:val="19"/>
        </w:rPr>
        <w:t>Pakistan; Implementierungsforschung für Programmstart nötig, nicht direkt auf Deutschland übertragbar</w:t>
      </w:r>
    </w:p>
    <w:p>
      <w:r>
        <w:rPr>
          <w:color w:val="5A7D3A"/>
          <w:sz w:val="18"/>
        </w:rPr>
        <w:t>https://pubmed.ncbi.nlm.nih.gov/42692950/</w:t>
      </w:r>
    </w:p>
    <w:p>
      <w:pPr>
        <w:pStyle w:val="Heading2"/>
      </w:pPr>
      <w:r>
        <w:t>Monitoring von Impfabbrüchen: Effekt auf Durchimpfungsquoten im ländlichen Südsudan</w:t>
      </w:r>
    </w:p>
    <w:p>
      <w:r>
        <w:rPr>
          <w:i/>
          <w:color w:val="666666"/>
          <w:sz w:val="18"/>
        </w:rPr>
        <w:t>Igga DOM et al.  ·  PLoS One  ·  03.09.2026  ·  PMID 42691046</w:t>
      </w:r>
    </w:p>
    <w:p>
      <w:r>
        <w:t>Prospektive Kohortenstudie über drei Monate in 14 Gesundheitseinrichtungen im Maridi County (Südsudan) zur Wirksamkeit von Monitoring-Mechanismen zur Reduzierung von Impfausfällen bei Säuglingen und Kleinkindern.</w:t>
      </w:r>
    </w:p>
    <w:p>
      <w:r>
        <w:rPr>
          <w:b/>
        </w:rPr>
        <w:t xml:space="preserve">Ergebnis: </w:t>
      </w:r>
      <w:r>
        <w:t>Einrichtungen mit aktualisierten Monitoring-Charts hatten signifikant niedrigere Ausfallquoten (Spearman r = -0,725, p = 0,003). Boma Health Worker (Community-Helfer zur Verfolgung ausstehender Impfungen) waren in 64 % der Einrichtungen präsent; 91,7 % der Einrichtungen mit niedrigen Ausfallquoten hatten Helfer, gegenüber 37,5 % mit hohen Ausfallquoten. Kombinierte Facility- und Community-basierte Monitoring-Mechanismen zeigten komplementären Effekt. Ausfallquoten über 10 % sanken über drei Monate um 9,6 Prozentpunkte.</w:t>
      </w:r>
    </w:p>
    <w:p>
      <w:r>
        <w:rPr>
          <w:b/>
          <w:sz w:val="19"/>
        </w:rPr>
        <w:t xml:space="preserve">Übertragbarkeit: </w:t>
      </w:r>
      <w:r>
        <w:rPr>
          <w:sz w:val="19"/>
        </w:rPr>
        <w:t>Südsudan; Monitoring-Muster auch für Deutschland relevant, aber Gesundheitssystem-Kontext verschieden</w:t>
      </w:r>
    </w:p>
    <w:p>
      <w:r>
        <w:rPr>
          <w:color w:val="5A7D3A"/>
          <w:sz w:val="18"/>
        </w:rPr>
        <w:t>https://pubmed.ncbi.nlm.nih.gov/42691046/</w:t>
      </w:r>
    </w:p>
    <w:p>
      <w:pPr>
        <w:pStyle w:val="Heading2"/>
      </w:pPr>
      <w:r>
        <w:t>Quoten bei Jugendlichen-Impfung USA 2025: HPV stagniert, Tdap und MenACWY leicht gesunken</w:t>
      </w:r>
    </w:p>
    <w:p>
      <w:r>
        <w:rPr>
          <w:i/>
          <w:color w:val="666666"/>
          <w:sz w:val="18"/>
        </w:rPr>
        <w:t>Pingali C et al.  ·  MMWR Morb Mortal Wkly Rep  ·  03.09.2026  ·  PMID 42691006</w:t>
      </w:r>
    </w:p>
    <w:p>
      <w:r>
        <w:t>Analyse der 2025 National Immunization Survey-Teen für 18.692 Adoleszente (13–17 Jahre) zur Erfassung von Trends bei Tetanus-Diptherie-Pertussis (Tdap), Meningokokken- und HPV-Impfquoten in den USA.</w:t>
      </w:r>
    </w:p>
    <w:p>
      <w:r>
        <w:rPr>
          <w:b/>
        </w:rPr>
        <w:t xml:space="preserve">Ergebnis: </w:t>
      </w:r>
      <w:r>
        <w:t>Tdap und MenACWY 2025 zu ca. 90 %, leicht gesunken gegenüber 2024. HPV-Impfquoten (≥1 Dosis und Serie-Vollständigkeit) stiegen zum vierten Jahr nicht an und blieben deutlich unter Tdap/MenACWY. HPV-Quote in ländlich geprägten Gebieten 12,0 Prozentpunkte niedriger als in städtischen Gegenden. Größte Variation zwischen Bundesländern bei HPV. Geografische und regionale Disparitäten persistent.</w:t>
      </w:r>
    </w:p>
    <w:p>
      <w:r>
        <w:rPr>
          <w:b/>
          <w:sz w:val="19"/>
        </w:rPr>
        <w:t xml:space="preserve">Übertragbarkeit: </w:t>
      </w:r>
      <w:r>
        <w:rPr>
          <w:sz w:val="19"/>
        </w:rPr>
        <w:t>USA; Quoten nicht direkt übertragbar, aber Disparitätsmuster ländlich/urban ähnlich Deutschland</w:t>
      </w:r>
    </w:p>
    <w:p>
      <w:r>
        <w:rPr>
          <w:color w:val="5A7D3A"/>
          <w:sz w:val="18"/>
        </w:rPr>
        <w:t>https://pubmed.ncbi.nlm.nih.gov/42691006/</w:t>
      </w:r>
    </w:p>
    <w:p>
      <w:pPr>
        <w:pStyle w:val="Heading2"/>
      </w:pPr>
      <w:r>
        <w:t>Impfassoziierte Belastung: Implementierung canadischer Leitlinien in Niederländisches Impfprogramm</w:t>
      </w:r>
    </w:p>
    <w:p>
      <w:r>
        <w:rPr>
          <w:i/>
          <w:color w:val="666666"/>
          <w:sz w:val="18"/>
        </w:rPr>
        <w:t>Huijten DCM et al.  ·  Clin J Pain  ·  01.08.2026  ·  PMID 42444177</w:t>
      </w:r>
    </w:p>
    <w:p>
      <w:r>
        <w:t>Erfahrungsbericht zur kulturellen Anpassung des CARD-Systems (Comfort-Ask-Relax-Distract) aus Kanada für das Niederländische Nationale Impfprogramm, um impfassoziierte Stress-Reaktionen (Schmerz, Nadelangst) zu reduzieren und Quote zu erhöhen.</w:t>
      </w:r>
    </w:p>
    <w:p>
      <w:r>
        <w:rPr>
          <w:b/>
        </w:rPr>
        <w:t xml:space="preserve">Ergebnis: </w:t>
      </w:r>
      <w:r>
        <w:t>Der CARD-Multikomponenten-Ansatz kombiniert Edukation mit mehreren Interventionen zur Stressreduktion (prozessual, physisch, pharmakologisch, psychologisch). Systematische Anpassung mittels EPIS-Rahmenwerk (Exploration-Preparation-Implementation-Sustainment) wurde durchgeführt. Das Konzept zeigt, dass Effektivität in einem Kontext (Kanada) nicht automatisch in anderem (Niederlande) funktioniert. Pilotstudie im niederländischen Kontext geplant.</w:t>
      </w:r>
    </w:p>
    <w:p>
      <w:r>
        <w:rPr>
          <w:b/>
          <w:sz w:val="19"/>
        </w:rPr>
        <w:t xml:space="preserve">Übertragbarkeit: </w:t>
      </w:r>
      <w:r>
        <w:rPr>
          <w:sz w:val="19"/>
        </w:rPr>
        <w:t>Niederlande, vergleichbares Impfprogramm; übertragbar auf Deutsche Impfkompetenz-Schulung</w:t>
      </w:r>
    </w:p>
    <w:p>
      <w:r>
        <w:rPr>
          <w:color w:val="5A7D3A"/>
          <w:sz w:val="18"/>
        </w:rPr>
        <w:t>https://pubmed.ncbi.nlm.nih.gov/42444177/</w:t>
      </w:r>
    </w:p>
    <w:p>
      <w:pPr>
        <w:pStyle w:val="Heading1"/>
      </w:pPr>
      <w:r>
        <w:t>Aufgenommen am 04.09.2026</w:t>
      </w:r>
    </w:p>
    <w:p>
      <w:pPr>
        <w:pStyle w:val="Heading2"/>
      </w:pPr>
      <w:r>
        <w:t>HPV-Impfbewusstsein in indigenen Gemeinschaften Kanadas niedrig</w:t>
      </w:r>
    </w:p>
    <w:p>
      <w:r>
        <w:rPr>
          <w:i/>
          <w:color w:val="666666"/>
          <w:sz w:val="18"/>
        </w:rPr>
        <w:t>Omidimorad A et al.  ·  PLoS One  ·  03.09.2026  ·  PMID 42691150</w:t>
      </w:r>
    </w:p>
    <w:p>
      <w:r>
        <w:t>Community-based participatory research in 11 indigenen Gemeinschaften der Northwest Territories (Kanada, n=221 Erwachsene ≥18 Jahre): Quantitative und qualitative Befragung zu HPV- und HPV-Impfbewusstsein; Multiple logistische Regression und thematische Analyse zu Nicht-Impfungs-Gründen.</w:t>
      </w:r>
    </w:p>
    <w:p>
      <w:r>
        <w:rPr>
          <w:b/>
        </w:rPr>
        <w:t xml:space="preserve">Ergebnis: </w:t>
      </w:r>
      <w:r>
        <w:t>Etwa 50% hatten von HPV gehört, &lt;1/3 von HPV-Impfstoff. Bildung signifikant assoziiert: Niedrigere Bildung → niedrigeres HPV-Bewusstsein (p&lt;0,001). Alter, Geschlecht, Bildung prädizieren Impfstoff-Bewusstsein (Frauen, höhere Bildung, jünger: höher). Nur 26,3% der Geimpften ≤26 Jahre. Qualitativ: Mangelndes Wissen und unzureichende Information sind Hauptbarrieren.</w:t>
      </w:r>
    </w:p>
    <w:p>
      <w:r>
        <w:rPr>
          <w:b/>
          <w:sz w:val="19"/>
        </w:rPr>
        <w:t xml:space="preserve">Übertragbarkeit: </w:t>
      </w:r>
      <w:r>
        <w:rPr>
          <w:sz w:val="19"/>
        </w:rPr>
        <w:t>Kanada, indigene Populations-spezifik; Lessons für deutsche Gesundheitsungleichheit relevant.</w:t>
      </w:r>
    </w:p>
    <w:p>
      <w:r>
        <w:rPr>
          <w:color w:val="5A7D3A"/>
          <w:sz w:val="18"/>
        </w:rPr>
        <w:t>https://pubmed.ncbi.nlm.nih.gov/42691150/</w:t>
      </w:r>
    </w:p>
    <w:p>
      <w:pPr>
        <w:pStyle w:val="Heading2"/>
      </w:pPr>
      <w:r>
        <w:t>Peer-Education durch Medizinstudierende steigert HPV-Impfwissen bei japanischen Jugendlichen</w:t>
      </w:r>
    </w:p>
    <w:p>
      <w:r>
        <w:rPr>
          <w:i/>
          <w:color w:val="666666"/>
          <w:sz w:val="18"/>
        </w:rPr>
        <w:t>Nakajima K et al.  ·  Hum Vaccin Immunother  ·  02.09.2026  ·  PMID 42687414</w:t>
      </w:r>
    </w:p>
    <w:p>
      <w:r>
        <w:t>Explorative Interventionsstudie (Feb 2022–März 2024): Medizinstudierende gaben 1-Stunden-Schulungen zu HPV-Transmission, Gebärmutterhalskrebs-Prävention und Impfwirksamkeit in japanischen Schulen; Folgeerhebung 1–2 Wochen später zu Wissen, Haltung und Impfverhalten.</w:t>
      </w:r>
    </w:p>
    <w:p>
      <w:r>
        <w:rPr>
          <w:b/>
        </w:rPr>
        <w:t xml:space="preserve">Ergebnis: </w:t>
      </w:r>
      <w:r>
        <w:t>864 Schüler teilgenommen, 332 gefolgt. Von 248 Ungeimpften vor Session: 10 Mädchen (7,5%) und 1 Junge (0,9%) erhielten HPV-Impfung innerhalb von 2 Wochen. Schüler mit positiver Impfabsicht zeigten höhere Verständnis-Scores. Geimpfte identifizierten HPV-verhinderbare Krebsarten häufiger korrekt.</w:t>
      </w:r>
    </w:p>
    <w:p>
      <w:r>
        <w:rPr>
          <w:b/>
          <w:sz w:val="19"/>
        </w:rPr>
        <w:t xml:space="preserve">Übertragbarkeit: </w:t>
      </w:r>
      <w:r>
        <w:rPr>
          <w:sz w:val="19"/>
        </w:rPr>
        <w:t>Japan-Daten; Near-Peer-Modell könnte für deutsches Schulimpf-Setting adaptierbar sein.</w:t>
      </w:r>
    </w:p>
    <w:p>
      <w:r>
        <w:rPr>
          <w:color w:val="5A7D3A"/>
          <w:sz w:val="18"/>
        </w:rPr>
        <w:t>https://pubmed.ncbi.nlm.nih.gov/42687414/</w:t>
      </w:r>
    </w:p>
    <w:p>
      <w:pPr>
        <w:pStyle w:val="Heading2"/>
      </w:pPr>
      <w:r>
        <w:t>HPV-Impfbereitschaft bei Eltern in ethnischen Autonomie-Bezirken Chinas</w:t>
      </w:r>
    </w:p>
    <w:p>
      <w:r>
        <w:rPr>
          <w:i/>
          <w:color w:val="666666"/>
          <w:sz w:val="18"/>
        </w:rPr>
        <w:t>Li X et al.  ·  Hum Vaccin Immunother  ·  01.09.2026  ·  PMID 42678389</w:t>
      </w:r>
    </w:p>
    <w:p>
      <w:r>
        <w:t>Querschnittsbefragung in Qinghai-Provinz (Dezember 2024–Februar 2025): Erziehungsberechtigte von Schulkindern zu HPV-Impfbereitschaft; Theorien: Health Belief Model und Theory of Planned Behavior (TPB); Hierarchische Regressionsmodelle.</w:t>
      </w:r>
    </w:p>
    <w:p>
      <w:r>
        <w:rPr>
          <w:b/>
        </w:rPr>
        <w:t xml:space="preserve">Ergebnis: </w:t>
      </w:r>
      <w:r>
        <w:t>Hui-Ethnie vs. Han-Ethnie: niedrigere Impfbereitschaft (B=−0,229, p=0,003). Positive Assoziationen mit: Aktionsimpulsen (β=0,121), wahrgenommenen Barrieren (β=0,128), Einstellungen (β=0,203), wahrgenommenem Verhaltenskontrolle (β=0,107), Subjektiven Normen (β=0,323). Bildung und mittleres Einkommen prädizierten höhere Bereitschaft.</w:t>
      </w:r>
    </w:p>
    <w:p>
      <w:r>
        <w:rPr>
          <w:b/>
          <w:sz w:val="19"/>
        </w:rPr>
        <w:t xml:space="preserve">Übertragbarkeit: </w:t>
      </w:r>
      <w:r>
        <w:rPr>
          <w:sz w:val="19"/>
        </w:rPr>
        <w:t>China, kollektive Health-Literacy-Strukturen; Barrieren für deutsche Migrantengruppen vergleichbar.</w:t>
      </w:r>
    </w:p>
    <w:p>
      <w:r>
        <w:rPr>
          <w:color w:val="5A7D3A"/>
          <w:sz w:val="18"/>
        </w:rPr>
        <w:t>https://pubmed.ncbi.nlm.nih.gov/42678389/</w:t>
      </w:r>
    </w:p>
    <w:p>
      <w:pPr>
        <w:pStyle w:val="Heading2"/>
      </w:pPr>
      <w:r>
        <w:t>Geospatial mapping reveals Zero-Dose concentrations in low- und lower-middle-income countries</w:t>
      </w:r>
    </w:p>
    <w:p>
      <w:r>
        <w:rPr>
          <w:i/>
          <w:color w:val="666666"/>
          <w:sz w:val="18"/>
        </w:rPr>
        <w:t>Njogu AM et al.  ·  Vaccine  ·  30.08.2026  ·  PMID 42442083</w:t>
      </w:r>
    </w:p>
    <w:p>
      <w:r>
        <w:t>Scoping Review zu räumlichen Modellierungsmethoden für Impfquoten in Ländern mit niedrigem Einkommen: 102 Artikel analysiert, hauptsächlich zu Routineimpfungen; nur 19,6% zu Zero-Dose-Prävalenz.</w:t>
      </w:r>
    </w:p>
    <w:p>
      <w:r>
        <w:rPr>
          <w:b/>
        </w:rPr>
        <w:t xml:space="preserve">Ergebnis: </w:t>
      </w:r>
      <w:r>
        <w:t>70% der Studien stammen aus 2021-2024. Die meisten nutzen Befragungsdaten statt Routinedaten. Größte Defizite: uneinheitliche Zero-Dose-Definitionen, begrenzte Routinedaten-Nutzung, Unterrepräsentation marginalisierter Gruppen. Geospatiale Kartierung expandiert, aber explorativ statt präzise genug zum gezielten Targeting.</w:t>
      </w:r>
    </w:p>
    <w:p>
      <w:r>
        <w:rPr>
          <w:b/>
          <w:sz w:val="19"/>
        </w:rPr>
        <w:t xml:space="preserve">Übertragbarkeit: </w:t>
      </w:r>
      <w:r>
        <w:rPr>
          <w:sz w:val="19"/>
        </w:rPr>
        <w:t>Entwicklungsländer-Fokus; Erkenntnisse für deutsche Registerentwicklung nicht direkt übertragbar.</w:t>
      </w:r>
    </w:p>
    <w:p>
      <w:r>
        <w:rPr>
          <w:color w:val="5A7D3A"/>
          <w:sz w:val="18"/>
        </w:rPr>
        <w:t>https://pubmed.ncbi.nlm.nih.gov/42442083/</w:t>
      </w:r>
    </w:p>
    <w:p>
      <w:pPr>
        <w:pStyle w:val="Heading2"/>
      </w:pPr>
      <w:r>
        <w:t>Antikörperpersistenz nach Kinderimpfungen mit maternaler Tdap-Exposition</w:t>
      </w:r>
    </w:p>
    <w:p>
      <w:r>
        <w:rPr>
          <w:i/>
          <w:color w:val="666666"/>
          <w:sz w:val="18"/>
        </w:rPr>
        <w:t>De Weerdt L et al.  ·  Vaccine  ·  13.08.2026  ·  PMID 42430876</w:t>
      </w:r>
    </w:p>
    <w:p>
      <w:r>
        <w:t>Längsschnittstudie an belgischen Kindern (Term und Frühgeborene) zu Antikörperpersistenz nach sechsvalenter DTaP-IPV-HB-PRP-Impfung und Antwort auf Auffrischung im Schulalter; Maternale Tdap-Impfung während Schwangerschaft als Exposition.</w:t>
      </w:r>
    </w:p>
    <w:p>
      <w:r>
        <w:rPr>
          <w:b/>
        </w:rPr>
        <w:t xml:space="preserve">Ergebnis: </w:t>
      </w:r>
      <w:r>
        <w:t>128 Kinder bei 3 Jahren, 106 bei 5 Jahren, 94 mit Schulauffrischung. Antikörperspiegel sanken zwischen Jahr 3 und 5, Schutzraten blieben hoch (außer Anti-HB: sinkend). Nach Auffrischung: 100% Seroschutz für Diphtherie/Tetanus/Polio Typ 1, ≥96% für Polio Typ 2+3, ≥93% Pertussis-Serokonversion. Maternale Tdap-Strategie wird gestützt.</w:t>
      </w:r>
    </w:p>
    <w:p>
      <w:r>
        <w:rPr>
          <w:b/>
          <w:sz w:val="19"/>
        </w:rPr>
        <w:t xml:space="preserve">Übertragbarkeit: </w:t>
      </w:r>
      <w:r>
        <w:rPr>
          <w:sz w:val="19"/>
        </w:rPr>
        <w:t>Belgien, vergleichbares Versicherungssystem; Impfkalender-Struktur ähnlich.</w:t>
      </w:r>
    </w:p>
    <w:p>
      <w:r>
        <w:rPr>
          <w:color w:val="5A7D3A"/>
          <w:sz w:val="18"/>
        </w:rPr>
        <w:t>https://pubmed.ncbi.nlm.nih.gov/42430876/</w:t>
      </w:r>
    </w:p>
    <w:p>
      <w:pPr>
        <w:pStyle w:val="Heading2"/>
      </w:pPr>
      <w:r>
        <w:t>COVID-19-Impfakzeptanz variiert nach Herkunftsregion in Schweden</w:t>
      </w:r>
    </w:p>
    <w:p>
      <w:r>
        <w:rPr>
          <w:i/>
          <w:color w:val="666666"/>
          <w:sz w:val="18"/>
        </w:rPr>
        <w:t>Hassan M et al.  ·  Front Public Health  ·  24.06.2026  ·  PMID 42422674</w:t>
      </w:r>
    </w:p>
    <w:p>
      <w:r>
        <w:t>Querschnittsbefragung in Schweden (n=3.281) zur COVID-19-Impfbereitschaft stratifiziert nach Geburtsregion: Schweden, Westländer, Nicht-Westländer. Sechs Domänen (Vertrauensdomänen, Normen, Erreichbarkeit) gemessen.</w:t>
      </w:r>
    </w:p>
    <w:p>
      <w:r>
        <w:rPr>
          <w:b/>
        </w:rPr>
        <w:t xml:space="preserve">Ergebnis: </w:t>
      </w:r>
      <w:r>
        <w:t>Geimpfte aus Schweden und Westländern hatten 9,5 bzw. 8,9 Punkte höhere Akzeptanzscores als Ungeimpfte; bei Nicht-Westländern nur 2,8 Punkte Unterschied. Bei Schweden/Westländern: ‚Deskriptive Normen' und ‚Vertrauen in Impfstoffe' stärkste Prädiktoren (OR 2,5–3,6). Bei Nicht-Westländern nur ‚Vertrauen' und ‚Nutzen-Risiko' relevant (OR 1,6–1,7).</w:t>
      </w:r>
    </w:p>
    <w:p>
      <w:r>
        <w:rPr>
          <w:b/>
          <w:sz w:val="19"/>
        </w:rPr>
        <w:t xml:space="preserve">Übertragbarkeit: </w:t>
      </w:r>
      <w:r>
        <w:rPr>
          <w:sz w:val="19"/>
        </w:rPr>
        <w:t>Skandinavien, Public-Health-System ähnlich; zeigt Defizit bei Migranten-Outreach.</w:t>
      </w:r>
    </w:p>
    <w:p>
      <w:r>
        <w:rPr>
          <w:color w:val="5A7D3A"/>
          <w:sz w:val="18"/>
        </w:rPr>
        <w:t>https://pubmed.ncbi.nlm.nih.gov/42422674/</w:t>
      </w:r>
    </w:p>
    <w:p>
      <w:pPr>
        <w:pStyle w:val="Heading1"/>
      </w:pPr>
      <w:r>
        <w:t>Aufgenommen am 03.09.2026</w:t>
      </w:r>
    </w:p>
    <w:p>
      <w:pPr>
        <w:pStyle w:val="Heading2"/>
      </w:pPr>
      <w:r>
        <w:t>Grippeimpf-Bewusstsein und -Quote bei Frauen im gebärfähigen Alter in Shanghai</w:t>
      </w:r>
    </w:p>
    <w:p>
      <w:r>
        <w:rPr>
          <w:i/>
          <w:color w:val="666666"/>
          <w:sz w:val="18"/>
        </w:rPr>
        <w:t>Liu P et al.  ·  Hum Vaccin Immunother  ·  16.07.2026  ·  PMID 42684141</w:t>
      </w:r>
    </w:p>
    <w:p>
      <w:r>
        <w:t>Bevölkerungsbasierte Querschnittsstudie zur Impfbereitschaft gegen Influenza bei Frauen im Alter von 15–49 Jahren in Shanghai (Pudong), einschließlich Schwangerenszenarien.</w:t>
      </w:r>
    </w:p>
    <w:p>
      <w:r>
        <w:rPr>
          <w:b/>
        </w:rPr>
        <w:t xml:space="preserve">Ergebnis: </w:t>
      </w:r>
      <w:r>
        <w:t>Wissenswert: 60,61 % zu Influenza, 56,46 % zu Grippeimpfstoff. Gesundheitsberufe hatten höchste Kompetenz. Bei hypothetischer Schwangerschaft: Injektionspräferenz fiel von 41,25 % auf 13,31 %, Nasenspray stieg von 10,60 % auf 23,17 %, Ablehnung von 10,19 % auf 35,58 %. Schwangere bevorzugten Nasenspray (41,67 %). 87,63 % würden Empfehlungen von Frauenärzten folgen.</w:t>
      </w:r>
    </w:p>
    <w:p>
      <w:r>
        <w:rPr>
          <w:b/>
          <w:sz w:val="19"/>
        </w:rPr>
        <w:t xml:space="preserve">Übertragbarkeit: </w:t>
      </w:r>
      <w:r>
        <w:rPr>
          <w:sz w:val="19"/>
        </w:rPr>
        <w:t>China, aber zeigt Muster zur Impfentscheidung in Schwangerschaft anwendbar auf deutsche Kommunikation</w:t>
      </w:r>
    </w:p>
    <w:p>
      <w:r>
        <w:rPr>
          <w:color w:val="5A7D3A"/>
          <w:sz w:val="18"/>
        </w:rPr>
        <w:t>https://pubmed.ncbi.nlm.nih.gov/42684141/</w:t>
      </w:r>
    </w:p>
    <w:p>
      <w:pPr>
        <w:pStyle w:val="Heading2"/>
      </w:pPr>
      <w:r>
        <w:t>Influenza-Impfquoten bei Ärztinnen und Pflegekräften: Deutschland und China im Vergleich</w:t>
      </w:r>
    </w:p>
    <w:p>
      <w:r>
        <w:rPr>
          <w:i/>
          <w:color w:val="666666"/>
          <w:sz w:val="18"/>
        </w:rPr>
        <w:t>Sanftenberg L et al.  ·  BMC Public Health  ·  01.09.2026  ·  PMID 42681616</w:t>
      </w:r>
    </w:p>
    <w:p>
      <w:r>
        <w:t>Vergleichende Querschnittsstudie zu psychologischen und strukturellen Barrieren für die Grippeimpfung bei Gesundheitspersonal in Deutschland (8.351 Arbeitskräfte, 72 Krankenhäuser) und China (689 Arbeitskräfte, 9 Krankenhäuser) 2024–2025.</w:t>
      </w:r>
    </w:p>
    <w:p>
      <w:r>
        <w:rPr>
          <w:b/>
        </w:rPr>
        <w:t xml:space="preserve">Ergebnis: </w:t>
      </w:r>
      <w:r>
        <w:t>Deutsche Ärzte: 80,9 % geimpft, deutsche Pflegekräfte 48,7 %; chinesische Ärzte: 28,8 %, chinesische Pflegekräfte 32,2 %. Vertrauen und Eigenverantwortung waren wichtige Treiber in beiden Ländern. Deutsche Profis nannten individuelle Gründe für Ablehnung, chinesische hingegen Hürden in der Einrichtung (Zeitmangel). Effektive Interventionen: kostenlose Impfung, Bildung, organisatorische Maßnahmen.</w:t>
      </w:r>
    </w:p>
    <w:p>
      <w:r>
        <w:rPr>
          <w:b/>
          <w:sz w:val="19"/>
        </w:rPr>
        <w:t xml:space="preserve">Übertragbarkeit: </w:t>
      </w:r>
      <w:r>
        <w:rPr>
          <w:sz w:val="19"/>
        </w:rPr>
        <w:t>Deutsche Klinikdaten, vergleichbares Versicherungssystem und Gesundheitsberuferegeln</w:t>
      </w:r>
    </w:p>
    <w:p>
      <w:r>
        <w:rPr>
          <w:color w:val="5A7D3A"/>
          <w:sz w:val="18"/>
        </w:rPr>
        <w:t>https://pubmed.ncbi.nlm.nih.gov/42681616/</w:t>
      </w:r>
    </w:p>
    <w:p>
      <w:pPr>
        <w:pStyle w:val="Heading2"/>
      </w:pPr>
      <w:r>
        <w:t>COVID-19-Impfung bei fortgeschrittenem Lungenkarzinom und Immuntherapie: Real-World-Daten aus Rumänien</w:t>
      </w:r>
    </w:p>
    <w:p>
      <w:r>
        <w:rPr>
          <w:i/>
          <w:color w:val="666666"/>
          <w:sz w:val="18"/>
        </w:rPr>
        <w:t>Gheorghiță V et al.  ·  Medicina (Kaunas)  ·  18.08.2026  ·  PMID 42654486</w:t>
      </w:r>
    </w:p>
    <w:p>
      <w:r>
        <w:t>Retrospektive Kohortenstudie an 139 Patienten mit Stadium-IV-Nicht-Kleinzellkarzinom, die Immun-Checkpoint-Inhibitoren erhielten, stratifiziert nach COVID-19-Impfstatus (0–1 vs. ≥2 Dosen).</w:t>
      </w:r>
    </w:p>
    <w:p>
      <w:r>
        <w:rPr>
          <w:b/>
        </w:rPr>
        <w:t xml:space="preserve">Ergebnis: </w:t>
      </w:r>
      <w:r>
        <w:t>Geimpfte Patienten: längeres progressionsfreies Überleben (13,0 vs. 11,0 Monate) und Gesamtüberleben (29,0 vs. 24,0 Monate; beide p&lt;0,001). Nach Multivariablenkalibrierung abgeschwächt, aber Grenzwertbereich (OS HR=0,83; PFS HR=0,79). ≥2 Dosen assoziiert mit besseren Ergebnissen (PFS 14,0 vs. 12,0 Monate, OS 30,0 vs. 24,0 Monate). Höhere Odds für Grad-1/2-Toxizität mit ≥2 Dosen (OR=2,47, p=0,037), aber keine Grade-4/5-Ereignisse.</w:t>
      </w:r>
    </w:p>
    <w:p>
      <w:r>
        <w:rPr>
          <w:b/>
          <w:sz w:val="19"/>
        </w:rPr>
        <w:t xml:space="preserve">Übertragbarkeit: </w:t>
      </w:r>
      <w:r>
        <w:rPr>
          <w:sz w:val="19"/>
        </w:rPr>
        <w:t>Rumänien, aber Sicherheit in vulnerabler Patientengruppe mit Immuntherapie untersucht</w:t>
      </w:r>
    </w:p>
    <w:p>
      <w:r>
        <w:rPr>
          <w:color w:val="5A7D3A"/>
          <w:sz w:val="18"/>
        </w:rPr>
        <w:t>https://pubmed.ncbi.nlm.nih.gov/42654486/</w:t>
      </w:r>
    </w:p>
    <w:p>
      <w:pPr>
        <w:pStyle w:val="Heading2"/>
      </w:pPr>
      <w:r>
        <w:t>Jennerian-Vakzination in Europa (1799–1810): Transnational verbreitete Arznei und Wissen</w:t>
      </w:r>
    </w:p>
    <w:p>
      <w:r>
        <w:rPr>
          <w:i/>
          <w:color w:val="666666"/>
          <w:sz w:val="18"/>
        </w:rPr>
        <w:t>Tuells J  ·  Vaccine  ·  17.09.2026  ·  PMID 42600246</w:t>
      </w:r>
    </w:p>
    <w:p>
      <w:r>
        <w:t>Historische Studie zur frühen Verbreitung der Kuhpockenvakzination in Europa durch ein Netzwerk von Ärzten, anhand von Korrespondenz und Materialflüssen zwischen London, Wien und Genf.</w:t>
      </w:r>
    </w:p>
    <w:p>
      <w:r>
        <w:rPr>
          <w:b/>
        </w:rPr>
        <w:t xml:space="preserve">Ergebnis: </w:t>
      </w:r>
      <w:r>
        <w:t>Jean de Carro, ein Genfer Arzt in Wien, fungierte als Vermittler für die Verbreitung von Vakzinationswissen und Impfstoff-Lymphe. Das Netzwerk ermöglichte die rasche Ausbreitung von 1799 bis 1810 in Richtung Ottomanisches Reich und Indien. Vakzination verbreitete sich nicht allein durch staatliche Kampagnen, sondern durch transnationale ärztliche Netzwerke.</w:t>
      </w:r>
    </w:p>
    <w:p>
      <w:r>
        <w:rPr>
          <w:b/>
          <w:sz w:val="19"/>
        </w:rPr>
        <w:t xml:space="preserve">Übertragbarkeit: </w:t>
      </w:r>
      <w:r>
        <w:rPr>
          <w:sz w:val="19"/>
        </w:rPr>
        <w:t>Historische Perspektive auf Vakzinationsverbreitung durch Netzwerke und persönliche Verbindungen</w:t>
      </w:r>
    </w:p>
    <w:p>
      <w:r>
        <w:rPr>
          <w:color w:val="5A7D3A"/>
          <w:sz w:val="18"/>
        </w:rPr>
        <w:t>https://pubmed.ncbi.nlm.nih.gov/42600246/</w:t>
      </w:r>
    </w:p>
    <w:p>
      <w:pPr>
        <w:pStyle w:val="Heading2"/>
      </w:pPr>
      <w:r>
        <w:t>Mütterliche Sechsfach-Streptococcus-B-Impfung: Phase-1/2-Studie bei nicht-schwangeren und schwangeren Frauen</w:t>
      </w:r>
    </w:p>
    <w:p>
      <w:r>
        <w:rPr>
          <w:i/>
          <w:color w:val="666666"/>
          <w:sz w:val="18"/>
        </w:rPr>
        <w:t>Madhi SA et al.  ·  Nat Med  ·  28.07.2026  ·  PMID 42521820</w:t>
      </w:r>
    </w:p>
    <w:p>
      <w:r>
        <w:t>Randomisierte Phase-1/2-Studie zur Sicherheit, Verträglichkeit und Immunogenität einer hexavalenten Polysaccharid-Protein-Konjugat-GBS-Vakzine (GBS6) in nicht-schwangeren Frauen und schwangeren Frauen sowie deren Neugeborenen.</w:t>
      </w:r>
    </w:p>
    <w:p>
      <w:r>
        <w:rPr>
          <w:b/>
        </w:rPr>
        <w:t xml:space="preserve">Ergebnis: </w:t>
      </w:r>
      <w:r>
        <w:t>Stadium 1 (n=66 nicht-schwanger): GBS6, GBS6+AlPO4 oder Placebo. Subgruppe erhielt Booster ~2 Jahre später. Stadium 3 (n=216 schwanger, 209 Neugeborene): GBS6 oder Placebo (Woche 24–36 Schwangerschaft). Fast alle Reaktogenizität-Ereignisse mild oder moderat. SAE/MAE ähnlich zwischen GBS6 und Placebo bei Müttern und Neugeborenen. GBS6 induzierte robuste Immunantworten; serotyp-spezifische Antikörper in Neugeborenen, deren Mütter GBS6 erhielten. Zwei neonatale Sepsis-Todesfälle (je einer in GBS6 und Placebo), keiner als vakzine-bedingt bewertet.</w:t>
      </w:r>
    </w:p>
    <w:p>
      <w:r>
        <w:rPr>
          <w:b/>
          <w:sz w:val="19"/>
        </w:rPr>
        <w:t xml:space="preserve">Übertragbarkeit: </w:t>
      </w:r>
      <w:r>
        <w:rPr>
          <w:sz w:val="19"/>
        </w:rPr>
        <w:t>Südafrika, USA, UK – erste klinische Daten zu maternaler GBS-Vakzination für neonatalen Schutz</w:t>
      </w:r>
    </w:p>
    <w:p>
      <w:r>
        <w:rPr>
          <w:color w:val="5A7D3A"/>
          <w:sz w:val="18"/>
        </w:rPr>
        <w:t>https://pubmed.ncbi.nlm.nih.gov/42521820/</w:t>
      </w:r>
    </w:p>
    <w:p>
      <w:pPr>
        <w:pStyle w:val="Heading2"/>
      </w:pPr>
      <w:r>
        <w:t>Hochdosis-Grippeimpfstoff in Spanien: Einführung, Anwendung und Evidenz</w:t>
      </w:r>
    </w:p>
    <w:p>
      <w:r>
        <w:rPr>
          <w:i/>
          <w:color w:val="666666"/>
          <w:sz w:val="18"/>
        </w:rPr>
        <w:t>Sanz-Muñoz I et al.  ·  Front Immunol  ·  30.06.2026  ·  PMID 42454050</w:t>
      </w:r>
    </w:p>
    <w:p>
      <w:r>
        <w:t>Narrative Synthese der klinischen Evidenz und Analyse von Vakzinierungsstrategien in spanischen autonomen Gemeinschaften seit Einführung von Hochdosis-Grippeimpfstoffen während der COVID-19-Pandemie.</w:t>
      </w:r>
    </w:p>
    <w:p>
      <w:r>
        <w:rPr>
          <w:b/>
        </w:rPr>
        <w:t xml:space="preserve">Ergebnis: </w:t>
      </w:r>
      <w:r>
        <w:t>Hochdosis-Grippeimpfstoffe zeigen überlegene Effektivität gegen schwere Influenza, Lungenentzündung und Mortalität bei Erwachsenen ≥60 Jahren in randomisierten Studien und Real-World-Daten. Heterogene regionale Aufnahme: manche Regionen priorisierten Institutionalisierte, andere erweiterten auf Community-Bewohner ≥60 Jahre. Trend zu breiter Adoption und Senkung des Altersgrenzwerts.</w:t>
      </w:r>
    </w:p>
    <w:p>
      <w:r>
        <w:rPr>
          <w:b/>
          <w:sz w:val="19"/>
        </w:rPr>
        <w:t xml:space="preserve">Übertragbarkeit: </w:t>
      </w:r>
      <w:r>
        <w:rPr>
          <w:sz w:val="19"/>
        </w:rPr>
        <w:t>Spanien, vergleichbare Gesundheitssysteme in Europa und Altersstruktur-Problematik</w:t>
      </w:r>
    </w:p>
    <w:p>
      <w:r>
        <w:rPr>
          <w:color w:val="5A7D3A"/>
          <w:sz w:val="18"/>
        </w:rPr>
        <w:t>https://pubmed.ncbi.nlm.nih.gov/42454050/</w:t>
      </w:r>
    </w:p>
    <w:p>
      <w:pPr>
        <w:pStyle w:val="Heading1"/>
      </w:pPr>
      <w:r>
        <w:t>Aufgenommen am 02.09.2026</w:t>
      </w:r>
    </w:p>
    <w:p>
      <w:pPr>
        <w:pStyle w:val="Heading2"/>
      </w:pPr>
      <w:r>
        <w:t>Grippeimpfstoff-Wirksamkeit gegen mild und schwer verlaufende Infektionen in Portugal</w:t>
      </w:r>
    </w:p>
    <w:p>
      <w:r>
        <w:rPr>
          <w:i/>
          <w:color w:val="666666"/>
          <w:sz w:val="18"/>
        </w:rPr>
        <w:t>Mourao F et al.  ·  Influenza Other Respir Viruses  ·  Sept. 2026  ·  PMID 42675936</w:t>
      </w:r>
    </w:p>
    <w:p>
      <w:r>
        <w:t>Testvergleichsstudie an 3.393 PCR-getesteten Patienten in Portugal (2015/16–2023/24) zur Grippeimpfstoff-Effektivität (IVE) gegen leichte und schwere Erkrankung.</w:t>
      </w:r>
    </w:p>
    <w:p>
      <w:r>
        <w:rPr>
          <w:b/>
        </w:rPr>
        <w:t xml:space="preserve">Ergebnis: </w:t>
      </w:r>
      <w:r>
        <w:t>IVE betrug 40,4 % (KI 22,7–54,0) bei ambulanten Patienten und 38,7 % (KI 17,6–54,5) bei hospitalisierten Fällen; Unterschied von 1,7 % war statistisch nicht signifikant (KI −22,0; 26,8). Keine relevanten Unterschiede in Subgruppen (≥65 Jahre, Komorbiditäten, Influenza-A-Subtypen). Impfstoff schützt über Versorgungssettings hinweg ähnlich gut.</w:t>
      </w:r>
    </w:p>
    <w:p>
      <w:r>
        <w:rPr>
          <w:b/>
          <w:sz w:val="19"/>
        </w:rPr>
        <w:t xml:space="preserve">Übertragbarkeit: </w:t>
      </w:r>
      <w:r>
        <w:rPr>
          <w:sz w:val="19"/>
        </w:rPr>
        <w:t>Portugal, EU-Nachbarland, Gesundheitssystem vergleichbar mit Deutschland</w:t>
      </w:r>
    </w:p>
    <w:p>
      <w:r>
        <w:rPr>
          <w:color w:val="5A7D3A"/>
          <w:sz w:val="18"/>
        </w:rPr>
        <w:t>https://pubmed.ncbi.nlm.nih.gov/42675936/</w:t>
      </w:r>
    </w:p>
    <w:p>
      <w:pPr>
        <w:pStyle w:val="Heading2"/>
      </w:pPr>
      <w:r>
        <w:t>HPV-Impfprogramme weltweit: Schulgebundenes Impfen erzielte höchste Quoten</w:t>
      </w:r>
    </w:p>
    <w:p>
      <w:r>
        <w:rPr>
          <w:i/>
          <w:color w:val="666666"/>
          <w:sz w:val="18"/>
        </w:rPr>
        <w:t>Kyei GK et al.  ·  J Nurs Scholarsh  ·  Sept. 2026  ·  PMID 42670010</w:t>
      </w:r>
    </w:p>
    <w:p>
      <w:r>
        <w:t>Qualitative Vergleichsanalyse von HPV-Impfrichtlinien in acht Ländern (Australien, Brasilien, Japan, Nigeria, Ruanda, Schweden, Großbritannien, USA) zur Identifikation von Einflussfaktoren auf Impfquoten.</w:t>
      </w:r>
    </w:p>
    <w:p>
      <w:r>
        <w:rPr>
          <w:b/>
        </w:rPr>
        <w:t xml:space="preserve">Ergebnis: </w:t>
      </w:r>
      <w:r>
        <w:t>Fünf Programmarchetypen identifiziert. Schulgebundene universelle Programme mit Pflegekräfte-Unterstützung erzielten höchste und gerechteste Abdeckung. Ruanda erreichte trotz Mädchen-fokussiertem, Donor-finanziertem Modell 98 % (Governance und Vertrauen überwogen Programmdesign). Transition zu Ein-Dosis-Impfung erfordert landesspezifische Anpassung.</w:t>
      </w:r>
    </w:p>
    <w:p>
      <w:r>
        <w:rPr>
          <w:b/>
          <w:sz w:val="19"/>
        </w:rPr>
        <w:t xml:space="preserve">Übertragbarkeit: </w:t>
      </w:r>
      <w:r>
        <w:rPr>
          <w:sz w:val="19"/>
        </w:rPr>
        <w:t>Programm-Vergleich, Strukturmerkmale übertragbar, insbesondere schulbasierte Systeme</w:t>
      </w:r>
    </w:p>
    <w:p>
      <w:r>
        <w:rPr>
          <w:color w:val="5A7D3A"/>
          <w:sz w:val="18"/>
        </w:rPr>
        <w:t>https://pubmed.ncbi.nlm.nih.gov/42670010/</w:t>
      </w:r>
    </w:p>
    <w:p>
      <w:pPr>
        <w:pStyle w:val="Heading2"/>
      </w:pPr>
      <w:r>
        <w:t>ChAdOx1 nCoV-19: Langzeitsicherheit bei 4.470 Probanden über 11,77 Monate</w:t>
      </w:r>
    </w:p>
    <w:p>
      <w:r>
        <w:rPr>
          <w:i/>
          <w:color w:val="666666"/>
          <w:sz w:val="18"/>
        </w:rPr>
        <w:t>Ebrahimi N et al.  ·  Vaccine  ·  13.08.2026  ·  PMID 42472497</w:t>
      </w:r>
    </w:p>
    <w:p>
      <w:r>
        <w:t>Prospektive Kohortenstudie von Probanden aus ChAdOx1-nCoV-19-Originalstudien mit follow-up September 2021–April 2022, Erfassung schwerwiegender unerwünschter Ereignisse (SAE) und Ereignisse von besonderem Interesse (AESI) nach Brighton-Collaboration-Definitionen.</w:t>
      </w:r>
    </w:p>
    <w:p>
      <w:r>
        <w:rPr>
          <w:b/>
        </w:rPr>
        <w:t xml:space="preserve">Ergebnis: </w:t>
      </w:r>
      <w:r>
        <w:t>4.470 Teilnehmer, 3.845 (86,0 %) Studienabschluss. Mediane Nachbeobachtung 11,77 Monate, 48.116 Personenmonate Gesamtnachbeobachtung. 174 SAE und 71 AESI (33 als beide registriert) bei 195 Teilnehmern, darunter 5 Todesfälle. Gesamtimmunglobulin-IgG gegen trimeres SARS-CoV-2-Spike-Protein zeigte Anstiegstendenz während Studie. Keine emergenten Sicherheitssignale; kontinuierliche Pharmakovigilanz bleibt essentiell, besonders für neurologische Störungen.</w:t>
      </w:r>
    </w:p>
    <w:p>
      <w:r>
        <w:rPr>
          <w:b/>
          <w:sz w:val="19"/>
        </w:rPr>
        <w:t xml:space="preserve">Übertragbarkeit: </w:t>
      </w:r>
      <w:r>
        <w:rPr>
          <w:sz w:val="19"/>
        </w:rPr>
        <w:t>Großbritannien, Oxford-Studie, NHS-basierte Kohortenverfolgung, vergleichbar mit deutschen Versorgungsdaten</w:t>
      </w:r>
    </w:p>
    <w:p>
      <w:r>
        <w:rPr>
          <w:color w:val="5A7D3A"/>
          <w:sz w:val="18"/>
        </w:rPr>
        <w:t>https://pubmed.ncbi.nlm.nih.gov/42472497/</w:t>
      </w:r>
    </w:p>
    <w:p>
      <w:pPr>
        <w:pStyle w:val="Heading2"/>
      </w:pPr>
      <w:r>
        <w:t>Hochdosis-Grippeimpfung für Senioren in Skandinavien: Kostenwirksamkeit und Nutzen</w:t>
      </w:r>
    </w:p>
    <w:p>
      <w:r>
        <w:rPr>
          <w:i/>
          <w:color w:val="666666"/>
          <w:sz w:val="18"/>
        </w:rPr>
        <w:t>Grootendorst A et al.  ·  Vaccine  ·  13.08.2026  ·  PMID 42468224</w:t>
      </w:r>
    </w:p>
    <w:p>
      <w:r>
        <w:t>Modellrechnung (Entscheidungsbaum-Influenza-Modell) für vier nordische Länder zum Vergleich nationaler Impfpolitik mit ausgeweitertem Hochdosis-Grippeimpfstoff-Programm für Erwachsene ≥65 Jahre.</w:t>
      </w:r>
    </w:p>
    <w:p>
      <w:r>
        <w:rPr>
          <w:b/>
        </w:rPr>
        <w:t xml:space="preserve">Ergebnis: </w:t>
      </w:r>
      <w:r>
        <w:t>Ausweitung auf alle ≥65-Jährigen würde in Schweden 13.929, Finnland 6.411, Norwegen 5.951 und Dänemark 2.438 symptomatische Fälle verhindern; entsprechend 1.615, 804, 762 bzw. 407 gewonnene Lebensjahre. Hospitalisierungen reduziert um 786, 362, 336 bzw. 138; Zusatzkosten €7,7 Mio (Schweden), €2,5 Mio (Finnland), €4,4 Mio (Norwegen), €2,4 Mio (Dänemark) – vertretbar im Verhältnis zur Gesamtausgaben.</w:t>
      </w:r>
    </w:p>
    <w:p>
      <w:r>
        <w:rPr>
          <w:b/>
          <w:sz w:val="19"/>
        </w:rPr>
        <w:t xml:space="preserve">Übertragbarkeit: </w:t>
      </w:r>
      <w:r>
        <w:rPr>
          <w:sz w:val="19"/>
        </w:rPr>
        <w:t>Skandinavien, Sozialversicherungssysteme vergleichbar mit Deutschland</w:t>
      </w:r>
    </w:p>
    <w:p>
      <w:r>
        <w:rPr>
          <w:color w:val="5A7D3A"/>
          <w:sz w:val="18"/>
        </w:rPr>
        <w:t>https://pubmed.ncbi.nlm.nih.gov/42468224/</w:t>
      </w:r>
    </w:p>
    <w:p>
      <w:pPr>
        <w:pStyle w:val="Heading2"/>
      </w:pPr>
      <w:r>
        <w:t>Bereitschaft zur Cholera-Impfung in sechs afrikanischen Ländern: Psychologische Faktoren und Krankheitsrisiko</w:t>
      </w:r>
    </w:p>
    <w:p>
      <w:r>
        <w:rPr>
          <w:i/>
          <w:color w:val="666666"/>
          <w:sz w:val="18"/>
        </w:rPr>
        <w:t>Geiger M et al.  ·  Vaccine  ·  13.08.2026  ·  PMID 42462676</w:t>
      </w:r>
    </w:p>
    <w:p>
      <w:r>
        <w:t>Querschnittsbefragung von 14.132 englischsprachigen Teilnehmern in Ghana, Kenia, Nigeria, Südafrika, Tansania und Uganda zur Impfbereitschaft gegen Cholera anhand des 7C-Modells (Vertrauen, Unachtsamkeit, Zwänge, Berechnung, kollektive Verantwortung, Einhaltung, Verschwörungsdenken).</w:t>
      </w:r>
    </w:p>
    <w:p>
      <w:r>
        <w:rPr>
          <w:b/>
        </w:rPr>
        <w:t xml:space="preserve">Ergebnis: </w:t>
      </w:r>
      <w:r>
        <w:t>Impfbereitschaft korrelierte stark mit selbstberichteter Cholera-Impfstatus (d = 0,32) und allgemeinem Impfstatus (r = 0,35). Persönliche Cholera-Erfahrung assoziiert mit höherer Bereitschaft (d = 0,14). Auf Länderebene: Durchschnittliche Bereitschaft korrelierte stark mit Cholera-Inzidenz letzte drei Jahre (ρ = 0,89) – höhere Bereitschaft in Ländern mit höherer Krankheitslast.</w:t>
      </w:r>
    </w:p>
    <w:p>
      <w:r>
        <w:rPr>
          <w:b/>
          <w:sz w:val="19"/>
        </w:rPr>
        <w:t xml:space="preserve">Übertragbarkeit: </w:t>
      </w:r>
      <w:r>
        <w:rPr>
          <w:sz w:val="19"/>
        </w:rPr>
        <w:t>Afrika, methodologische Erkenntnis zu Vaccine Hesitancy-Messung in Ländern mit niedrigem Impfniveau</w:t>
      </w:r>
    </w:p>
    <w:p>
      <w:r>
        <w:rPr>
          <w:color w:val="5A7D3A"/>
          <w:sz w:val="18"/>
        </w:rPr>
        <w:t>https://pubmed.ncbi.nlm.nih.gov/42462676/</w:t>
      </w:r>
    </w:p>
    <w:p>
      <w:pPr>
        <w:pStyle w:val="Heading2"/>
      </w:pPr>
      <w:r>
        <w:t>SARS-CoV-2-Impfung bei Stammzell-Transplantierten: Antikörperantwort vergleichbar mit Gesunden</w:t>
      </w:r>
    </w:p>
    <w:p>
      <w:r>
        <w:rPr>
          <w:i/>
          <w:color w:val="666666"/>
          <w:sz w:val="18"/>
        </w:rPr>
        <w:t>Maier CP et al.  ·  Front Immunol  ·  01.07.2026  ·  PMID 42459652</w:t>
      </w:r>
    </w:p>
    <w:p>
      <w:r>
        <w:t>Längsschnitt-Studie an 354 allogenen Stammzell-Transplantierten und 647 gesunden Kontrollen zu IgG-, IgM-, IgA-Antikörper-Kinetik gegen SARS-CoV-2-Antigene nach mRNA-, Vektor- und Protein-Impfstoff-Dosen.</w:t>
      </w:r>
    </w:p>
    <w:p>
      <w:r>
        <w:rPr>
          <w:b/>
        </w:rPr>
        <w:t xml:space="preserve">Ergebnis: </w:t>
      </w:r>
      <w:r>
        <w:t>Anti-Spike-IgG-Serokonversion: nach 1. Dosis 27 % (Patienten) vs. 28 % (Kontrollen), nach 2. Dosis 65 % vs. 59 %, nach 3. Dosis 93 % vs. 98 %. Nach drei Dosen keine signifikanten Unterschiede mehr zwischen Gruppen. IgM/IgA selten. Negative Prädiktoren nach 1. Dosis (Diagnose, kürzeres Intervall, niedrige Lymphozyten), nach 3. Dosis keine. Antikörperspiegel ≥6 Monate stabil. Durchbruchinfektionen mild.</w:t>
      </w:r>
    </w:p>
    <w:p>
      <w:r>
        <w:rPr>
          <w:b/>
          <w:sz w:val="19"/>
        </w:rPr>
        <w:t xml:space="preserve">Übertragbarkeit: </w:t>
      </w:r>
      <w:r>
        <w:rPr>
          <w:sz w:val="19"/>
        </w:rPr>
        <w:t>Deutschland, deutschsprachige Autoren (Tübingen), Transplantationszentren vergleichbar</w:t>
      </w:r>
    </w:p>
    <w:p>
      <w:r>
        <w:rPr>
          <w:color w:val="5A7D3A"/>
          <w:sz w:val="18"/>
        </w:rPr>
        <w:t>https://pubmed.ncbi.nlm.nih.gov/42459652/</w:t>
      </w:r>
    </w:p>
    <w:p>
      <w:pPr>
        <w:pStyle w:val="Heading1"/>
      </w:pPr>
      <w:r>
        <w:t>Aufgenommen am 01.09.2026</w:t>
      </w:r>
    </w:p>
    <w:p>
      <w:pPr>
        <w:pStyle w:val="Heading2"/>
      </w:pPr>
      <w:r>
        <w:t>Neue mRNA-Impfstoffe gegen COVID-19 in Phase 2: Sicherheit und Immunogenität</w:t>
      </w:r>
    </w:p>
    <w:p>
      <w:r>
        <w:rPr>
          <w:i/>
          <w:color w:val="666666"/>
          <w:sz w:val="18"/>
        </w:rPr>
        <w:t>Wong R et al.  ·  Hum Vaccin Immunother  ·  26.08.2026  ·  PMID 42647564</w:t>
      </w:r>
    </w:p>
    <w:p>
      <w:r>
        <w:t>Phase-2-Studie mit 425 vorgeimpften Erwachsenen in Australien: Vergleich experimenteller bivalenter und monovalenter mRNA-Impfstoffe mit lizenziertem Wuhan/BA.4-5-Impfstoff.</w:t>
      </w:r>
    </w:p>
    <w:p>
      <w:r>
        <w:rPr>
          <w:b/>
        </w:rPr>
        <w:t xml:space="preserve">Ergebnis: </w:t>
      </w:r>
      <w:r>
        <w:t>Überwiegend milde bis moderate Lokalreaktionen. Keine impfstoffbedingten schwerwiegenden Nebenwirkungen oder Myokarditis/Perikarditis. CV0701-Impfstoff (bivalent) zeigte dosisabhängige Neutralisationsantikörper-Anstiege gegen ancestrales D614G und Omicron BA.4-5. CD4+- und CD8+-T-Zell-Antworten in allen Gruppen außer niedrigster CV0701-Dosis.</w:t>
      </w:r>
    </w:p>
    <w:p>
      <w:r>
        <w:rPr>
          <w:b/>
          <w:sz w:val="19"/>
        </w:rPr>
        <w:t xml:space="preserve">Übertragbarkeit: </w:t>
      </w:r>
      <w:r>
        <w:rPr>
          <w:sz w:val="19"/>
        </w:rPr>
        <w:t>Australisches Studienzentrum, Phase 2; Sicherheitsprofil übertragbar, Immunogenität Laborbiomarker.</w:t>
      </w:r>
    </w:p>
    <w:p>
      <w:r>
        <w:rPr>
          <w:color w:val="5A7D3A"/>
          <w:sz w:val="18"/>
        </w:rPr>
        <w:t>https://pubmed.ncbi.nlm.nih.gov/42647564/</w:t>
      </w:r>
    </w:p>
    <w:p>
      <w:pPr>
        <w:pStyle w:val="Heading2"/>
      </w:pPr>
      <w:r>
        <w:t>Pertussis-Impfschutz in Schweden durch Durchbruchinfektionen gefährdet</w:t>
      </w:r>
    </w:p>
    <w:p>
      <w:r>
        <w:rPr>
          <w:i/>
          <w:color w:val="666666"/>
          <w:sz w:val="18"/>
        </w:rPr>
        <w:t>Brett TS et al.  ·  PLoS Comput Biol  ·  04.08.2026  ·  PMID 42550879</w:t>
      </w:r>
    </w:p>
    <w:p>
      <w:r>
        <w:t>Mathematisches Modell der Pertussis-Dynamik in Schweden mit empirischen Meldedaten: Kombination aus leaky DTaP-Immunität, Impfstoffschutz-Abnahme und erhöhter Datenerfassung seit 2014.</w:t>
      </w:r>
    </w:p>
    <w:p>
      <w:r>
        <w:rPr>
          <w:b/>
        </w:rPr>
        <w:t xml:space="preserve">Ergebnis: </w:t>
      </w:r>
      <w:r>
        <w:t>Die DTaP-Impfung verhindert etwa 50% der Infektionen bei ungeimpften Neugeborenen (indirekter Schutz). Pertussis-Elimination ist mit azellulärem Impfstoff nicht möglich wegen Impfstoff-Durchlässigkeit und Immunitätsverlust. Der Anstieg der Fallmeldungen ab 2014 wird nicht allein durch echte Infektionszunahme erklärt, sondern auch durch verbesserte Labortestung.</w:t>
      </w:r>
    </w:p>
    <w:p>
      <w:r>
        <w:rPr>
          <w:b/>
          <w:sz w:val="19"/>
        </w:rPr>
        <w:t xml:space="preserve">Übertragbarkeit: </w:t>
      </w:r>
      <w:r>
        <w:rPr>
          <w:sz w:val="19"/>
        </w:rPr>
        <w:t>Schweden mit detailliertem Surveillance-System; Befund auf Deutschland übertragbar.</w:t>
      </w:r>
    </w:p>
    <w:p>
      <w:r>
        <w:rPr>
          <w:color w:val="5A7D3A"/>
          <w:sz w:val="18"/>
        </w:rPr>
        <w:t>https://pubmed.ncbi.nlm.nih.gov/42550879/</w:t>
      </w:r>
    </w:p>
    <w:p>
      <w:pPr>
        <w:pStyle w:val="Heading2"/>
      </w:pPr>
      <w:r>
        <w:t>Zoster-Impfstoff während Krebstherapie: Umsetzbarkeit und Sicherheit</w:t>
      </w:r>
    </w:p>
    <w:p>
      <w:r>
        <w:rPr>
          <w:i/>
          <w:color w:val="666666"/>
          <w:sz w:val="18"/>
        </w:rPr>
        <w:t>Ciappina G et al.  ·  Hum Vaccin Immunother  ·  30.07.2026  ·  PMID 42529910</w:t>
      </w:r>
    </w:p>
    <w:p>
      <w:r>
        <w:t>Retrospektive Kohorte von 42 Krebspatienten unter systemischer Therapie, denen rekombinanter Zoster-Impfstoff (RZV) angeboten wurde; zwei Dosen im Standard-Abstand.</w:t>
      </w:r>
    </w:p>
    <w:p>
      <w:r>
        <w:rPr>
          <w:b/>
        </w:rPr>
        <w:t xml:space="preserve">Ergebnis: </w:t>
      </w:r>
      <w:r>
        <w:t>37 von 42 (88,1%) vollendeten beide Dosen. Verträglichkeit günstig: Injektionsstellen-Schmerz am häufigsten, Systembeschwerden mild und vorübergehend. Keine schweren impfbezogenen Ereignisse, keine Behandlungsverzögerungen. Nach Median 11,5 Monaten kein dokumentiertes Herpes zoster (aber kleine Fallzahl).</w:t>
      </w:r>
    </w:p>
    <w:p>
      <w:r>
        <w:rPr>
          <w:b/>
          <w:sz w:val="19"/>
        </w:rPr>
        <w:t xml:space="preserve">Übertragbarkeit: </w:t>
      </w:r>
      <w:r>
        <w:rPr>
          <w:sz w:val="19"/>
        </w:rPr>
        <w:t>Einzelnes italienisches Zentrum; Machbarkeitsbefund für Impfen unter Immunsuppression relevant.</w:t>
      </w:r>
    </w:p>
    <w:p>
      <w:r>
        <w:rPr>
          <w:color w:val="5A7D3A"/>
          <w:sz w:val="18"/>
        </w:rPr>
        <w:t>https://pubmed.ncbi.nlm.nih.gov/42529910/</w:t>
      </w:r>
    </w:p>
    <w:p>
      <w:pPr>
        <w:pStyle w:val="Heading2"/>
      </w:pPr>
      <w:r>
        <w:t>HPV-Impfbereitschaft bei ländlichen Eltern: Barrieren und Anreize in Äthiopien</w:t>
      </w:r>
    </w:p>
    <w:p>
      <w:r>
        <w:rPr>
          <w:i/>
          <w:color w:val="666666"/>
          <w:sz w:val="18"/>
        </w:rPr>
        <w:t>Zenebe S et al.  ·  PLoS One  ·  22.07.2026  ·  PMID 42485289</w:t>
      </w:r>
    </w:p>
    <w:p>
      <w:r>
        <w:t>Qualitative Studie zu Faktoren der HPV-Impf-Akzeptanz bei Eltern von Mädchen im ländlichen Südäthiopien mittels Fokusgruppen und Einzelinterviews.</w:t>
      </w:r>
    </w:p>
    <w:p>
      <w:r>
        <w:rPr>
          <w:b/>
        </w:rPr>
        <w:t xml:space="preserve">Ergebnis: </w:t>
      </w:r>
      <w:r>
        <w:t>Befürworter: Krebsprävention, elterliche Verantwortung, Vertrauen in Fachkräfte-Empfehlungen. Barrieren: Mangelndes Wissen, fehlende zuverlässige Informationsquellen, Impfskepsis, Angst vor Nebenwirkungen, kulturelle und religiöse Faktoren. Hauptempfehlung: Behörden und Institutionen müssen zusammen gegen erkannte Barrieren vorgehen.</w:t>
      </w:r>
    </w:p>
    <w:p>
      <w:r>
        <w:rPr>
          <w:b/>
          <w:sz w:val="19"/>
        </w:rPr>
        <w:t xml:space="preserve">Übertragbarkeit: </w:t>
      </w:r>
      <w:r>
        <w:rPr>
          <w:sz w:val="19"/>
        </w:rPr>
        <w:t>Äthiopien-Setting; Befunde zu Vertrauensfaktoren und Wissensdefiziten weltweit relevant.</w:t>
      </w:r>
    </w:p>
    <w:p>
      <w:r>
        <w:rPr>
          <w:color w:val="5A7D3A"/>
          <w:sz w:val="18"/>
        </w:rPr>
        <w:t>https://pubmed.ncbi.nlm.nih.gov/42485289/</w:t>
      </w:r>
    </w:p>
    <w:p>
      <w:pPr>
        <w:pStyle w:val="Heading2"/>
      </w:pPr>
      <w:r>
        <w:t>CAR-T-Zelltherapie für Autoimmunerkrankungen: Stand und Perspektiven</w:t>
      </w:r>
    </w:p>
    <w:p>
      <w:r>
        <w:rPr>
          <w:i/>
          <w:color w:val="666666"/>
          <w:sz w:val="18"/>
        </w:rPr>
        <w:t>Bachl J et al.  ·  PLoS Med  ·  20.07.2026  ·  PMID 42475287</w:t>
      </w:r>
    </w:p>
    <w:p>
      <w:r>
        <w:t>Überblickartikel zu CAR-T-Zellen (chimäre Antigen-Rezeptoren) in der Behandlung von Autoimmunerkrankungen: bisherige Erfolge und offene Fragen.</w:t>
      </w:r>
    </w:p>
    <w:p>
      <w:r>
        <w:rPr>
          <w:b/>
        </w:rPr>
        <w:t xml:space="preserve">Ergebnis: </w:t>
      </w:r>
      <w:r>
        <w:t>CAR-T-Therapien haben Potenzial, dysfunktionale Immunsysteme zurückzusetzen. Neueste technologische Entwicklungen ermöglichen Hoffnung für Patienten mit therapierefraktären Autoimmunerkrankungen. Zahlreiche Herausforderungen bleiben, insgesamt wird die transformative Wirkung dieser Zelltherapien für künftige Patienten angedeutet.</w:t>
      </w:r>
    </w:p>
    <w:p>
      <w:r>
        <w:rPr>
          <w:b/>
          <w:sz w:val="19"/>
        </w:rPr>
        <w:t xml:space="preserve">Übertragbarkeit: </w:t>
      </w:r>
      <w:r>
        <w:rPr>
          <w:sz w:val="19"/>
        </w:rPr>
        <w:t>Überblick ohne primäre Daten; nicht primär impfpräventiv, sondern therapeutisch.</w:t>
      </w:r>
    </w:p>
    <w:p>
      <w:r>
        <w:rPr>
          <w:color w:val="5A7D3A"/>
          <w:sz w:val="18"/>
        </w:rPr>
        <w:t>https://pubmed.ncbi.nlm.nih.gov/42475287/</w:t>
      </w:r>
    </w:p>
    <w:p>
      <w:pPr>
        <w:pStyle w:val="Heading2"/>
      </w:pPr>
      <w:r>
        <w:t>Pentavalent-Impflücke verursachte Diphtherie-Ausbruch in Nigeria</w:t>
      </w:r>
    </w:p>
    <w:p>
      <w:r>
        <w:rPr>
          <w:i/>
          <w:color w:val="666666"/>
          <w:sz w:val="18"/>
        </w:rPr>
        <w:t>Okhuarobo UJ et al.  ·  Pan Afr Med J  ·  10.03.2026  ·  PMID 42465825</w:t>
      </w:r>
    </w:p>
    <w:p>
      <w:r>
        <w:t>Fall-Kontroll-Studie zu Diphtherie-Ausbruch in Kafanchan, Nigeria (Juli-Oktober 2023): Exposition, Kontakte und Impfstatus.</w:t>
      </w:r>
    </w:p>
    <w:p>
      <w:r>
        <w:rPr>
          <w:b/>
        </w:rPr>
        <w:t xml:space="preserve">Ergebnis: </w:t>
      </w:r>
      <w:r>
        <w:t>91 Fälle, medianes Alter 7 Jahre, Fallsterblichkeit 23%. Pentavalent-Impfung: protektiv (aOR 0,39, 95%-KI 0,20–0,77). Kontakt mit respiratorischen Symptomen: OR 37,2 (KI 16,8–82,6). 25% hatten nie Pentavalent erhalten, Grund: Unwissenheit über Nutzen. Verbesserung durch Risikokommunikation und gestärkte Routine-Impfung.</w:t>
      </w:r>
    </w:p>
    <w:p>
      <w:r>
        <w:rPr>
          <w:b/>
          <w:sz w:val="19"/>
        </w:rPr>
        <w:t xml:space="preserve">Übertragbarkeit: </w:t>
      </w:r>
      <w:r>
        <w:rPr>
          <w:sz w:val="19"/>
        </w:rPr>
        <w:t>Nigeria-Daten; Mechanism-Befund (Lücken-Ausbruch) global übertragbar.</w:t>
      </w:r>
    </w:p>
    <w:p>
      <w:r>
        <w:rPr>
          <w:color w:val="5A7D3A"/>
          <w:sz w:val="18"/>
        </w:rPr>
        <w:t>https://pubmed.ncbi.nlm.nih.gov/42465825/</w:t>
      </w:r>
    </w:p>
    <w:p>
      <w:pPr>
        <w:pStyle w:val="Heading1"/>
      </w:pPr>
      <w:r>
        <w:t>Aufgenommen am 31.08.2026</w:t>
      </w:r>
    </w:p>
    <w:p>
      <w:pPr>
        <w:pStyle w:val="Heading2"/>
      </w:pPr>
      <w:r>
        <w:t>Langzeitimmunität nach Hepatitis-B-Impfung bei Menschen mit HIV: 8,5-Jahr-Verlauf in China</w:t>
      </w:r>
    </w:p>
    <w:p>
      <w:r>
        <w:rPr>
          <w:i/>
          <w:color w:val="666666"/>
          <w:sz w:val="18"/>
        </w:rPr>
        <w:t>Yang H et al.  ·  Front Public Health  ·  14.08.2026  ·  PMID 42666258</w:t>
      </w:r>
    </w:p>
    <w:p>
      <w:r>
        <w:t>Retrospektive Kohortenstudie mit 195 HIV-positiven Personen ohne anti-HBs-Schutz, die Heplisav-B erhielten, mit Langzeitfollow-up 1,5-8,5 Jahre.</w:t>
      </w:r>
    </w:p>
    <w:p>
      <w:r>
        <w:rPr>
          <w:b/>
        </w:rPr>
        <w:t xml:space="preserve">Ergebnis: </w:t>
      </w:r>
      <w:r>
        <w:t>Nach 3-4 Dosen initial 98% und 85% Responserate (vs. 77-79% nach 1-2 Dosen). Nach 8,5 Jahren: 83% (3 Dosen) und 88% (4 Dosen) zeigten anhaltende Antikörper &gt;100 IU/mL. Unabhängige Korrelaten: Dosenzahl und frühes serologisches Ansprechen.</w:t>
      </w:r>
    </w:p>
    <w:p>
      <w:r>
        <w:rPr>
          <w:b/>
          <w:sz w:val="19"/>
        </w:rPr>
        <w:t xml:space="preserve">Übertragbarkeit: </w:t>
      </w:r>
      <w:r>
        <w:rPr>
          <w:sz w:val="19"/>
        </w:rPr>
        <w:t>China, aber Heplisav-B weltweit, zeigt optimale Impfschemata für immungeschwächte Personen</w:t>
      </w:r>
    </w:p>
    <w:p>
      <w:r>
        <w:rPr>
          <w:color w:val="5A7D3A"/>
          <w:sz w:val="18"/>
        </w:rPr>
        <w:t>https://pubmed.ncbi.nlm.nih.gov/42666258/</w:t>
      </w:r>
    </w:p>
    <w:p>
      <w:pPr>
        <w:pStyle w:val="Heading2"/>
      </w:pPr>
      <w:r>
        <w:t>Sozioökonomische Ungleichheiten bei COVID-19-Impfung nigerianischer Frauen</w:t>
      </w:r>
    </w:p>
    <w:p>
      <w:r>
        <w:rPr>
          <w:i/>
          <w:color w:val="666666"/>
          <w:sz w:val="18"/>
        </w:rPr>
        <w:t>Ekholuenetale M  ·  PLoS One  ·  28.08.2026  ·  PMID 42664197</w:t>
      </w:r>
    </w:p>
    <w:p>
      <w:r>
        <w:t>Querschnittsanalyse mit 36.555 Frauen aus Nigeria-Bevölkerungsumfrage 2024 zur Zerlegung sozioökonomischer Disparitäten bei Impfquoten.</w:t>
      </w:r>
    </w:p>
    <w:p>
      <w:r>
        <w:rPr>
          <w:b/>
        </w:rPr>
        <w:t xml:space="preserve">Ergebnis: </w:t>
      </w:r>
      <w:r>
        <w:t>Impfquote bei am wenigsten benachteiligten Frauen 31,6%, bei am stärksten benachteiligten 19,2%. Positive Einflussfaktoren: höhere Bildung, Medienpräsenz, Krankenversicherung, Alter ≥30 Jahre, südliche Regionen. Bildung, Medienexposition und Versicherung trugen am stärksten zu Disparitäten bei.</w:t>
      </w:r>
    </w:p>
    <w:p>
      <w:r>
        <w:rPr>
          <w:b/>
          <w:sz w:val="19"/>
        </w:rPr>
        <w:t xml:space="preserve">Übertragbarkeit: </w:t>
      </w:r>
      <w:r>
        <w:rPr>
          <w:sz w:val="19"/>
        </w:rPr>
        <w:t>Nigeria, aber Ungleichheitsmuster zeigen universelle Zugangsbarrieren</w:t>
      </w:r>
    </w:p>
    <w:p>
      <w:r>
        <w:rPr>
          <w:color w:val="5A7D3A"/>
          <w:sz w:val="18"/>
        </w:rPr>
        <w:t>https://pubmed.ncbi.nlm.nih.gov/42664197/</w:t>
      </w:r>
    </w:p>
    <w:p>
      <w:pPr>
        <w:pStyle w:val="Heading2"/>
      </w:pPr>
      <w:r>
        <w:t>COVID-19-Impfquote bei Gemeindeimpfterminen: Dauer, Wochentag und Partnerschaft steigern Reichweite</w:t>
      </w:r>
    </w:p>
    <w:p>
      <w:r>
        <w:rPr>
          <w:i/>
          <w:color w:val="666666"/>
          <w:sz w:val="18"/>
        </w:rPr>
        <w:t>Shakib SH et al.  ·  Viruses  ·  11.08.2026  ·  PMID 42655698</w:t>
      </w:r>
    </w:p>
    <w:p>
      <w:r>
        <w:t>Retrospektive Analyse von 631 Impfterminen (27.767 Dosen) in Kentucky 2021-2022 zu Assoziationen zwischen Veranstaltungsmerkmalen und verabreichten Dosen pro Termin.</w:t>
      </w:r>
    </w:p>
    <w:p>
      <w:r>
        <w:rPr>
          <w:b/>
        </w:rPr>
        <w:t xml:space="preserve">Ergebnis: </w:t>
      </w:r>
      <w:r>
        <w:t>Jede zusätzliche Stunde Veranstaltungsdauer: +21,6% Dosen pro Termin. Wochenendtermine: +87,8% gegenüber Wochentagen. Nicht-regierungsorganisationen: +44,7%; Unternehmen: +110%; medizinische Anbieter: +57,8% gegenüber Government-Terminen. Nur-LMPHW-Termine (ohne Partner): +198,4%.</w:t>
      </w:r>
    </w:p>
    <w:p>
      <w:r>
        <w:rPr>
          <w:b/>
          <w:sz w:val="19"/>
        </w:rPr>
        <w:t xml:space="preserve">Übertragbarkeit: </w:t>
      </w:r>
      <w:r>
        <w:rPr>
          <w:sz w:val="19"/>
        </w:rPr>
        <w:t>USA, aber Zugangsoptimierungen übertragbar auf deutsche Impfstellen</w:t>
      </w:r>
    </w:p>
    <w:p>
      <w:r>
        <w:rPr>
          <w:color w:val="5A7D3A"/>
          <w:sz w:val="18"/>
        </w:rPr>
        <w:t>https://pubmed.ncbi.nlm.nih.gov/42655698/</w:t>
      </w:r>
    </w:p>
    <w:p>
      <w:pPr>
        <w:pStyle w:val="Heading2"/>
      </w:pPr>
      <w:r>
        <w:t>Mütterlicherve RSV-Impfung: Akzeptanz und Kommunikationspräferenzen schwangerer Frauen in England</w:t>
      </w:r>
    </w:p>
    <w:p>
      <w:r>
        <w:rPr>
          <w:i/>
          <w:color w:val="666666"/>
          <w:sz w:val="18"/>
        </w:rPr>
        <w:t>Bell S et al.  ·  Vaccine  ·  13.08.2026  ·  PMID 42497669</w:t>
      </w:r>
    </w:p>
    <w:p>
      <w:r>
        <w:t>Qualitative Studie mit 30 Müttern in England zu Wahrnehmungen der maternalen RSV-Impfung ab 28 Schwangerschaftswochen.</w:t>
      </w:r>
    </w:p>
    <w:p>
      <w:r>
        <w:rPr>
          <w:b/>
        </w:rPr>
        <w:t xml:space="preserve">Ergebnis: </w:t>
      </w:r>
      <w:r>
        <w:t>Hohe Impfbereitschaft, aber Wissenslücken zu RSV-Schweregrad. Mütter bevorzugen Informationen online, schriftlich und durch Hebammen; 84% wollen Impfung in Antenatalbetreuung (nicht separate Praxistermine).</w:t>
      </w:r>
    </w:p>
    <w:p>
      <w:r>
        <w:rPr>
          <w:b/>
          <w:sz w:val="19"/>
        </w:rPr>
        <w:t xml:space="preserve">Übertragbarkeit: </w:t>
      </w:r>
      <w:r>
        <w:rPr>
          <w:sz w:val="19"/>
        </w:rPr>
        <w:t>Großbritannien, vergleichbares Versorgungssystem, neue Impfempfehlung, übertragbare Zugangsoptimierung</w:t>
      </w:r>
    </w:p>
    <w:p>
      <w:r>
        <w:rPr>
          <w:color w:val="5A7D3A"/>
          <w:sz w:val="18"/>
        </w:rPr>
        <w:t>https://pubmed.ncbi.nlm.nih.gov/42497669/</w:t>
      </w:r>
    </w:p>
    <w:p>
      <w:pPr>
        <w:pStyle w:val="Heading2"/>
      </w:pPr>
      <w:r>
        <w:t>Nutzen-Kosten-Analyse: Atemwegsimpfung bei Erwachsenen ≥65 Jahren in Frankreich</w:t>
      </w:r>
    </w:p>
    <w:p>
      <w:r>
        <w:rPr>
          <w:i/>
          <w:color w:val="666666"/>
          <w:sz w:val="18"/>
        </w:rPr>
        <w:t>Napier M et al.  ·  Expert Rev Vaccines  ·  22.07.2026  ·  PMID 42484014</w:t>
      </w:r>
    </w:p>
    <w:p>
      <w:r>
        <w:t>Ökonomische Analyse zur Rentabilität von Pneumokokken-, RSV-, Influenza- und COVID-19-Impfungen bei älteren Franzosen.</w:t>
      </w:r>
    </w:p>
    <w:p>
      <w:r>
        <w:rPr>
          <w:b/>
        </w:rPr>
        <w:t xml:space="preserve">Ergebnis: </w:t>
      </w:r>
      <w:r>
        <w:t>Nutzen-Kosten-Verhältnis 2,0-8,7€ pro 1€ Ausgaben über Lebenszeit. RSV-Impfung würde Nettonutzen um 6-7% erhöhen. Erreichung ehrgeiziger Impfquoten (z.B. auf 90%) würde Nutzen um 138-175% steigern.</w:t>
      </w:r>
    </w:p>
    <w:p>
      <w:r>
        <w:rPr>
          <w:b/>
          <w:sz w:val="19"/>
        </w:rPr>
        <w:t xml:space="preserve">Übertragbarkeit: </w:t>
      </w:r>
      <w:r>
        <w:rPr>
          <w:sz w:val="19"/>
        </w:rPr>
        <w:t>Frankreich, vergleichbares System, zeigt Wirtschaftlichkeit höherer Quoten</w:t>
      </w:r>
    </w:p>
    <w:p>
      <w:r>
        <w:rPr>
          <w:color w:val="5A7D3A"/>
          <w:sz w:val="18"/>
        </w:rPr>
        <w:t>https://pubmed.ncbi.nlm.nih.gov/42484014/</w:t>
      </w:r>
    </w:p>
    <w:p>
      <w:pPr>
        <w:pStyle w:val="Heading2"/>
      </w:pPr>
      <w:r>
        <w:t>Tdap-Impfzeitpunkt in der Schwangerschaft: Antikörperresponse und Plazentaweitergabe</w:t>
      </w:r>
    </w:p>
    <w:p>
      <w:r>
        <w:rPr>
          <w:i/>
          <w:color w:val="666666"/>
          <w:sz w:val="18"/>
        </w:rPr>
        <w:t>De Weerdt L et al.  ·  Vaccine  ·  13.08.2026  ·  PMID 42472495</w:t>
      </w:r>
    </w:p>
    <w:p>
      <w:r>
        <w:t>Prospektive Studie mit 96 schwangeren Frauen in Belgien zur Charakterisierung der Auswirkung des Impfzeitpunkts (16.-32. Woche) auf maternale und neonatale Antikörperprofile.</w:t>
      </w:r>
    </w:p>
    <w:p>
      <w:r>
        <w:rPr>
          <w:b/>
        </w:rPr>
        <w:t xml:space="preserve">Ergebnis: </w:t>
      </w:r>
      <w:r>
        <w:t>Maternale IgG und IgG1 gegen Pertussis, Diphtherie, Tetanus bei späteren Impfungen höher; neonatale Profile vergleichbar. IgG-Transferquoten sanken mit fortgeschrittenerem Gestationsalter, funktionelle Antikörperübertragung kaum beeinflusst.</w:t>
      </w:r>
    </w:p>
    <w:p>
      <w:r>
        <w:rPr>
          <w:b/>
          <w:sz w:val="19"/>
        </w:rPr>
        <w:t xml:space="preserve">Übertragbarkeit: </w:t>
      </w:r>
      <w:r>
        <w:rPr>
          <w:sz w:val="19"/>
        </w:rPr>
        <w:t>Belgien, vergleichbares Versicherungssystem, bestätigt Empfehlung 16.-32. Wochen</w:t>
      </w:r>
    </w:p>
    <w:p>
      <w:r>
        <w:rPr>
          <w:color w:val="5A7D3A"/>
          <w:sz w:val="18"/>
        </w:rPr>
        <w:t>https://pubmed.ncbi.nlm.nih.gov/42472495/</w:t>
      </w:r>
    </w:p>
    <w:p>
      <w:pPr>
        <w:pStyle w:val="Heading1"/>
      </w:pPr>
      <w:r>
        <w:t>Aufgenommen am 30.08.2026</w:t>
      </w:r>
    </w:p>
    <w:p>
      <w:pPr>
        <w:pStyle w:val="Heading2"/>
      </w:pPr>
      <w:r>
        <w:t>Rapid strain-matched Influenza-Impfung hätte 28.000 Todesfälle in UK-ähnlicher Pandemie verhindert</w:t>
      </w:r>
    </w:p>
    <w:p>
      <w:r>
        <w:rPr>
          <w:i/>
          <w:color w:val="666666"/>
          <w:sz w:val="18"/>
        </w:rPr>
        <w:t>Lovick S et al.  ·  Hum Vaccin Immunother  ·  28.08.2026  ·  PMID 42663142</w:t>
      </w:r>
    </w:p>
    <w:p>
      <w:r>
        <w:t>Dynamisches SEIR-Transmissionsmodell für UK-ähnliche Bevölkerung zur Bewertung Morbidität, Mortalität und Kosten einer frühen zellbasierten vs. eibasierten Pandemie-Impfstoff-Kampagne mit/ohne Maßnahmen.</w:t>
      </w:r>
    </w:p>
    <w:p>
      <w:r>
        <w:rPr>
          <w:b/>
        </w:rPr>
        <w:t xml:space="preserve">Ergebnis: </w:t>
      </w:r>
      <w:r>
        <w:t>16-wöchige Impfkampagne ab 16 Wochen nach Pandemie-Erklärung (ohne Maßnahmen) reduzierte Infektionen um 3,0 Millionen und Todesfälle um 28.000, mit größerem Nutzen in Low-Transmissibility-Szenarien. Zellbasierter Impfstoff reduzierte Todesfälle zusätzlich um 5,0%. Maßnahmen (Durchschnittskosten £208 Mrd.) verbesserten Impfeffektivität, zellbasierter Impfstoff zusätzlich um 0,9%. Verzögerungen erhöhten Mortalität und wirtschaftliche Kosten.</w:t>
      </w:r>
    </w:p>
    <w:p>
      <w:r>
        <w:rPr>
          <w:b/>
          <w:sz w:val="19"/>
        </w:rPr>
        <w:t xml:space="preserve">Übertragbarkeit: </w:t>
      </w:r>
      <w:r>
        <w:rPr>
          <w:sz w:val="19"/>
        </w:rPr>
        <w:t>UK-ähnliche Gesundheitssysteme, Modellierung ohne spezifische nationale Daten.</w:t>
      </w:r>
    </w:p>
    <w:p>
      <w:r>
        <w:rPr>
          <w:color w:val="5A7D3A"/>
          <w:sz w:val="18"/>
        </w:rPr>
        <w:t>https://pubmed.ncbi.nlm.nih.gov/42663142/</w:t>
      </w:r>
    </w:p>
    <w:p>
      <w:pPr>
        <w:pStyle w:val="Heading2"/>
      </w:pPr>
      <w:r>
        <w:t>Vertraute Quellen statt digitale Botschaften: Was COVID-19-Skepsis bei Schwarzen schwangeren Frauen senkt</w:t>
      </w:r>
    </w:p>
    <w:p>
      <w:r>
        <w:rPr>
          <w:i/>
          <w:color w:val="666666"/>
          <w:sz w:val="18"/>
        </w:rPr>
        <w:t>Cox E et al.  ·  Front Public Health  ·  12.08.2026  ·  PMID 42656594</w:t>
      </w:r>
    </w:p>
    <w:p>
      <w:r>
        <w:t>Qualitative Studie mit Interviews und Fokusgruppen bei 30 Schwarzen schwangeren und postpartalen Frauen in den USA zum Einfluss von sozialen Medien-Anzeigen auf Impfbereitschaft.</w:t>
      </w:r>
    </w:p>
    <w:p>
      <w:r>
        <w:rPr>
          <w:b/>
        </w:rPr>
        <w:t xml:space="preserve">Ergebnis: </w:t>
      </w:r>
      <w:r>
        <w:t>Geimpfte, religiöse, politisch konservative und verheiratete Frauen zeigten höhere Bereitschaft nach den Anzeigen. Kein einzelnes Messenger-Format oder Inhaltstyp war überlegen. Qualitativ zentral: Vertrauen in sich selbst, Familie, Doulas und Glaubensführer; Misstrauen gegen Staat und Gesundheitssystem sowie medizinischen Rassismus. Persönliches Zeugnis von vertrauten Quellen könnte Akzeptanz stärken.</w:t>
      </w:r>
    </w:p>
    <w:p>
      <w:r>
        <w:rPr>
          <w:b/>
          <w:sz w:val="19"/>
        </w:rPr>
        <w:t xml:space="preserve">Übertragbarkeit: </w:t>
      </w:r>
      <w:r>
        <w:rPr>
          <w:sz w:val="19"/>
        </w:rPr>
        <w:t>USA, spezifische Herausforderung für Minderheiten-Vertrauen in Gesundheitssystem.</w:t>
      </w:r>
    </w:p>
    <w:p>
      <w:r>
        <w:rPr>
          <w:color w:val="5A7D3A"/>
          <w:sz w:val="18"/>
        </w:rPr>
        <w:t>https://pubmed.ncbi.nlm.nih.gov/42656594/</w:t>
      </w:r>
    </w:p>
    <w:p>
      <w:pPr>
        <w:pStyle w:val="Heading2"/>
      </w:pPr>
      <w:r>
        <w:t>HPV-geimpfte Jugendliche nutzen Kondome häufiger und kennen mehr über Geschlechtskrankheiten</w:t>
      </w:r>
    </w:p>
    <w:p>
      <w:r>
        <w:rPr>
          <w:i/>
          <w:color w:val="666666"/>
          <w:sz w:val="18"/>
        </w:rPr>
        <w:t>Christensen LD et al.  ·  Dan Med J  ·  09.06.2026  ·  PMID 42592763</w:t>
      </w:r>
    </w:p>
    <w:p>
      <w:r>
        <w:t>Querschnittstudie bei 866 von 1.254 neunten Schulklassen-Schülern (69%) in Dänemark 2020–2024 zu HPV-Impfstatus und Wissen über sexuell übertragbare Infektionen.</w:t>
      </w:r>
    </w:p>
    <w:p>
      <w:r>
        <w:rPr>
          <w:b/>
        </w:rPr>
        <w:t xml:space="preserve">Ergebnis: </w:t>
      </w:r>
      <w:r>
        <w:t>20% der Jugendlichen hatten sexuelle Erfahrung mit Medianalter 14 Jahren. Wissen über drei oder mehr STIs war mit HPV-Impfung assoziiert (p=0,001). 62% nutzten bei letztem Sexualkontakt Kondome und/oder orale Kontrazeptiva; Mädchen 70–80%, Jungen 50–55%. HPV-Geimpfte nutzten Kondome signifikant häufiger.</w:t>
      </w:r>
    </w:p>
    <w:p>
      <w:r>
        <w:rPr>
          <w:b/>
          <w:sz w:val="19"/>
        </w:rPr>
        <w:t xml:space="preserve">Übertragbarkeit: </w:t>
      </w:r>
      <w:r>
        <w:rPr>
          <w:sz w:val="19"/>
        </w:rPr>
        <w:t>Dänemark, europäisches Impfprogramm und Bevölkerungsaufbau.</w:t>
      </w:r>
    </w:p>
    <w:p>
      <w:r>
        <w:rPr>
          <w:color w:val="5A7D3A"/>
          <w:sz w:val="18"/>
        </w:rPr>
        <w:t>https://pubmed.ncbi.nlm.nih.gov/42592763/</w:t>
      </w:r>
    </w:p>
    <w:p>
      <w:pPr>
        <w:pStyle w:val="Heading2"/>
      </w:pPr>
      <w:r>
        <w:t>RSV-Impfung bei immungeschwächten Erwachsenen würde Krankheitslast und Kosten in Deutschland senken</w:t>
      </w:r>
    </w:p>
    <w:p>
      <w:r>
        <w:rPr>
          <w:i/>
          <w:color w:val="666666"/>
          <w:sz w:val="18"/>
        </w:rPr>
        <w:t>Quinn E et al.  ·  Expert Rev Vaccines  ·  31.07.2026  ·  PMID 42535735</w:t>
      </w:r>
    </w:p>
    <w:p>
      <w:r>
        <w:t>Kosten-Effektivitätsmodell für RSV-Impfung (RSVpreF) in Deutschland, mit Szenarien für die Erweiterung der STIKO-Empfehlung auf Personen &lt;60 Jahren.</w:t>
      </w:r>
    </w:p>
    <w:p>
      <w:r>
        <w:rPr>
          <w:b/>
        </w:rPr>
        <w:t xml:space="preserve">Ergebnis: </w:t>
      </w:r>
      <w:r>
        <w:t>Gegenwärtig: Empfehlung für 60–74 Jahre und ≥75 Jahre. Erweiterung auf immungeschwächte (IC) Erwachsene 18–59 Jahre würde 6.490 Fälle verhindern, 199 Todesfälle abwenden und 21 Mio. € einsparen. Erweiterung auf IC/chronisch kranke Personen 18–59 Jahre würde 24.545 Fälle und 388 Todesfälle verhindern bei Mehrkosten von 238 Mio. €.</w:t>
      </w:r>
    </w:p>
    <w:p>
      <w:r>
        <w:rPr>
          <w:b/>
          <w:sz w:val="19"/>
        </w:rPr>
        <w:t xml:space="preserve">Übertragbarkeit: </w:t>
      </w:r>
      <w:r>
        <w:rPr>
          <w:sz w:val="19"/>
        </w:rPr>
        <w:t>Deutschland, deutsche Versicherungslogik und STIKO-Struktur.</w:t>
      </w:r>
    </w:p>
    <w:p>
      <w:r>
        <w:rPr>
          <w:color w:val="5A7D3A"/>
          <w:sz w:val="18"/>
        </w:rPr>
        <w:t>https://pubmed.ncbi.nlm.nih.gov/42535735/</w:t>
      </w:r>
    </w:p>
    <w:p>
      <w:pPr>
        <w:pStyle w:val="Heading2"/>
      </w:pPr>
      <w:r>
        <w:t>Schützende Antikörper gegen Röteln bei Katalanischen Medizinstudierenden trotz hoher Impfquoten</w:t>
      </w:r>
    </w:p>
    <w:p>
      <w:r>
        <w:rPr>
          <w:i/>
          <w:color w:val="666666"/>
          <w:sz w:val="18"/>
        </w:rPr>
        <w:t>Benito P et al.  ·  Vaccine  ·  13.08.2026  ·  PMID 42501718</w:t>
      </w:r>
    </w:p>
    <w:p>
      <w:r>
        <w:t>Querschnittsstudie an 235 Medizinstudierenden in vier katalanischen Universitäten zur Röteln-Impfquote und Seroprävalenz von Schutzantikörpern.</w:t>
      </w:r>
    </w:p>
    <w:p>
      <w:r>
        <w:rPr>
          <w:b/>
        </w:rPr>
        <w:t xml:space="preserve">Ergebnis: </w:t>
      </w:r>
      <w:r>
        <w:t>94,5% berichteten vollständige Röteln-Impfung; 84,7% hatten schützende Anti-Röteln-IgG-Antikörper, 6,0% grenzwertig und 9,4% negativ. Vollständig Geimpfte waren signifikant häufiger seropositiv (aOR 4,02; 95% CI 1,14–13,11). Nahezu alle Teilnehmenden bewerteten die MMR-Impfung als sicher und wichtig.</w:t>
      </w:r>
    </w:p>
    <w:p>
      <w:r>
        <w:rPr>
          <w:b/>
          <w:sz w:val="19"/>
        </w:rPr>
        <w:t xml:space="preserve">Übertragbarkeit: </w:t>
      </w:r>
      <w:r>
        <w:rPr>
          <w:sz w:val="19"/>
        </w:rPr>
        <w:t>Spanien, vergleichbares Hochschulsystem und Impfkalender.</w:t>
      </w:r>
    </w:p>
    <w:p>
      <w:r>
        <w:rPr>
          <w:color w:val="5A7D3A"/>
          <w:sz w:val="18"/>
        </w:rPr>
        <w:t>https://pubmed.ncbi.nlm.nih.gov/42501718/</w:t>
      </w:r>
    </w:p>
    <w:p>
      <w:pPr>
        <w:pStyle w:val="Heading2"/>
      </w:pPr>
      <w:r>
        <w:t>Catch-up-Impfquoten nach Beratung bei ukrainischen Kinderflüchtlingen in der Schweiz deutlich verbessert</w:t>
      </w:r>
    </w:p>
    <w:p>
      <w:r>
        <w:rPr>
          <w:i/>
          <w:color w:val="666666"/>
          <w:sz w:val="18"/>
        </w:rPr>
        <w:t>Vaezipour N et al.  ·  Eur J Pediatr  ·  23.07.2026  ·  PMID 42489737</w:t>
      </w:r>
    </w:p>
    <w:p>
      <w:r>
        <w:t>Retrospektive Kohortenstudie bei 517 ukrainischen Kinderflüchtlingen in fünf Schweizer Zentren zur Durchimpfung und Infektionsscreening.</w:t>
      </w:r>
    </w:p>
    <w:p>
      <w:r>
        <w:rPr>
          <w:b/>
        </w:rPr>
        <w:t xml:space="preserve">Ergebnis: </w:t>
      </w:r>
      <w:r>
        <w:t>Bei Ankunft 71–82% altersentsprechend geimpft gegen Masern, Diphtherie-Tetanus-Pertussis, Poliomyelitis und Haemophilus influenzae b; Hauptgrund für Lücken war Impfskepsis. Nach Impfberatung/Catch-up-Programme: 98% (509/517) vollständig geimpft. Infektionsscreening-Positivraten niedrig: HIV 2,7%, Hepatitis B 1,6%, Tuberkulose 1,0%.</w:t>
      </w:r>
    </w:p>
    <w:p>
      <w:r>
        <w:rPr>
          <w:b/>
          <w:sz w:val="19"/>
        </w:rPr>
        <w:t xml:space="preserve">Übertragbarkeit: </w:t>
      </w:r>
      <w:r>
        <w:rPr>
          <w:sz w:val="19"/>
        </w:rPr>
        <w:t>Schweiz, vergleichbares Versicherungssystem und Versorgungsauftrag.</w:t>
      </w:r>
    </w:p>
    <w:p>
      <w:r>
        <w:rPr>
          <w:color w:val="5A7D3A"/>
          <w:sz w:val="18"/>
        </w:rPr>
        <w:t>https://pubmed.ncbi.nlm.nih.gov/42489737/</w:t>
      </w:r>
    </w:p>
    <w:p>
      <w:pPr>
        <w:pStyle w:val="Heading2"/>
      </w:pPr>
      <w:r>
        <w:t>Impfdurchbrüche mit Pneumokokken-Serotyp 3 trotz hoher PCV13-Abdeckung bei Kindern</w:t>
      </w:r>
    </w:p>
    <w:p>
      <w:r>
        <w:rPr>
          <w:i/>
          <w:color w:val="666666"/>
          <w:sz w:val="18"/>
        </w:rPr>
        <w:t>Ciruela P et al.  ·  Vaccine  ·  13.08.2026  ·  PMID 42486053</w:t>
      </w:r>
    </w:p>
    <w:p>
      <w:r>
        <w:t>Retrospektive Beobachtungsstudie zu invasiven Pneumokokken-Erkrankungen bei 206 PCV13-geimpften Kindern in Katalonien 2018–2023 mit Impfquoten &gt;96%.</w:t>
      </w:r>
    </w:p>
    <w:p>
      <w:r>
        <w:rPr>
          <w:b/>
        </w:rPr>
        <w:t xml:space="preserve">Ergebnis: </w:t>
      </w:r>
      <w:r>
        <w:t>48,0% vollständig Geimpfter (n=177) zeigten Impfversagen, vorwiegend durch Serotyp 3 (84,7% der Fälle). Im Vergleich zur Vor-PCV13-Ära war der Schutz länger haltbar, aber der Anteil von Serotyp-3-Durchbrüchen blieb erheblich. Ausschluss von Serotyp 3 senkte die Impfversagensrate von 48,0% auf 12,4%.</w:t>
      </w:r>
    </w:p>
    <w:p>
      <w:r>
        <w:rPr>
          <w:b/>
          <w:sz w:val="19"/>
        </w:rPr>
        <w:t xml:space="preserve">Übertragbarkeit: </w:t>
      </w:r>
      <w:r>
        <w:rPr>
          <w:sz w:val="19"/>
        </w:rPr>
        <w:t>Spanien, vergleichbares Impfprogramm und Surveillance-System.</w:t>
      </w:r>
    </w:p>
    <w:p>
      <w:r>
        <w:rPr>
          <w:color w:val="5A7D3A"/>
          <w:sz w:val="18"/>
        </w:rPr>
        <w:t>https://pubmed.ncbi.nlm.nih.gov/42486053/</w:t>
      </w:r>
    </w:p>
    <w:p>
      <w:pPr>
        <w:pStyle w:val="Heading1"/>
      </w:pPr>
      <w:r>
        <w:t>Aufgenommen am 29.08.2026</w:t>
      </w:r>
    </w:p>
    <w:p>
      <w:pPr>
        <w:pStyle w:val="Heading2"/>
      </w:pPr>
      <w:r>
        <w:t>Dezentralisierte CAR-T-Zelltherapie: Phase-1-Sicherheit und Machbarkeit</w:t>
      </w:r>
    </w:p>
    <w:p>
      <w:r>
        <w:rPr>
          <w:i/>
          <w:color w:val="666666"/>
          <w:sz w:val="18"/>
        </w:rPr>
        <w:t>Kersten MJ et al.  ·  Lancet Haematol  ·  Sept. 2026  ·  PMID 42660131</w:t>
      </w:r>
    </w:p>
    <w:p>
      <w:r>
        <w:t>Phase-1-Dosis-Eskalationsstudie der dezentralisierten Fertigung von CD19-CAR-T-Zellen (GLPG5101) bei 24 Patienten mit rezidiviertem/refraktärem B-Zell-Non-Hodgkin-Lymphom in Niederlanden und Belgien (März 2022–September 2024).</w:t>
      </w:r>
    </w:p>
    <w:p>
      <w:r>
        <w:rPr>
          <w:b/>
        </w:rPr>
        <w:t xml:space="preserve">Ergebnis: </w:t>
      </w:r>
      <w:r>
        <w:t>Fünf dosislimitierende Toxizitäten berichtet: Grad-3-Thrombozytopenie (n=1), Tod durch intra-abdominale Blutung (n=1), Grad-4-Neutropenie (n=3). Vier therapiebedingte Todesfälle insgesamt. Empfohlene Phase-2-Dosis: 110 × 10⁶ (Bereich 50–110 × 10⁶) CAR⁺-T-Zellen. Studie zeigte Machbarkeit schneller dezentralisierter Fertigung und Lieferung.</w:t>
      </w:r>
    </w:p>
    <w:p>
      <w:r>
        <w:rPr>
          <w:b/>
          <w:sz w:val="19"/>
        </w:rPr>
        <w:t xml:space="preserve">Übertragbarkeit: </w:t>
      </w:r>
      <w:r>
        <w:rPr>
          <w:sz w:val="19"/>
        </w:rPr>
        <w:t>Niederlande/Belgien, dezentralisierte Herstellung lokal lösbar, aber CAR-T grundsätzlich komplexes spezialisiertes Therapieverfahren</w:t>
      </w:r>
    </w:p>
    <w:p>
      <w:r>
        <w:rPr>
          <w:color w:val="5A7D3A"/>
          <w:sz w:val="18"/>
        </w:rPr>
        <w:t>https://pubmed.ncbi.nlm.nih.gov/42660131/</w:t>
      </w:r>
    </w:p>
    <w:p>
      <w:pPr>
        <w:pStyle w:val="Heading2"/>
      </w:pPr>
      <w:r>
        <w:t>Pränatalintervention für Impfakzeptanz durch Bürgerbeteiligung entwickelt</w:t>
      </w:r>
    </w:p>
    <w:p>
      <w:r>
        <w:rPr>
          <w:i/>
          <w:color w:val="666666"/>
          <w:sz w:val="18"/>
        </w:rPr>
        <w:t>McCarron SA et al.  ·  Health Expect  ·  Aug. 2026  ·  PMID 42550057</w:t>
      </w:r>
    </w:p>
    <w:p>
      <w:r>
        <w:t>Partizipative Entwicklung einer Antenatalintervention zur Förderung der Impfakzeptanz in Nordirland mit Eltern, Patienten und Öffentlichkeit (Maternity Service Liaison Committee, Sure Start-Programme, aufsuchende Klinik für Ostriesische Gemeinde).</w:t>
      </w:r>
    </w:p>
    <w:p>
      <w:r>
        <w:rPr>
          <w:b/>
        </w:rPr>
        <w:t xml:space="preserve">Ergebnis: </w:t>
      </w:r>
      <w:r>
        <w:t>Input von Eltern und Gemeindevertreter prägte Inhalt, Timing und Präsentation der Impfinformation. Wichtigste Erkenntnisse: klare, einfache Sprachinformation früh in der Schwangerschaft erforderlich, Informationen müssen an verschiedene Bedürfnisse zugeschnitten werden. Vertrauen in etablierte Netzwerke unterstützte Engagement mit unterrepräsentierten Gruppen.</w:t>
      </w:r>
    </w:p>
    <w:p>
      <w:r>
        <w:rPr>
          <w:b/>
          <w:sz w:val="19"/>
        </w:rPr>
        <w:t xml:space="preserve">Übertragbarkeit: </w:t>
      </w:r>
      <w:r>
        <w:rPr>
          <w:sz w:val="19"/>
        </w:rPr>
        <w:t>UK-System; Methode der Bürgerbeteiligung übertragbar, aber Antenatalstrukturen unterscheiden sich</w:t>
      </w:r>
    </w:p>
    <w:p>
      <w:r>
        <w:rPr>
          <w:color w:val="5A7D3A"/>
          <w:sz w:val="18"/>
        </w:rPr>
        <w:t>https://pubmed.ncbi.nlm.nih.gov/42550057/</w:t>
      </w:r>
    </w:p>
    <w:p>
      <w:pPr>
        <w:pStyle w:val="Heading2"/>
      </w:pPr>
      <w:r>
        <w:t>Mpox-Impfstoff Jynneos: Sicherheitsprofil während Ausbruch in Deutschland bestätigt</w:t>
      </w:r>
    </w:p>
    <w:p>
      <w:r>
        <w:rPr>
          <w:i/>
          <w:color w:val="666666"/>
          <w:sz w:val="18"/>
        </w:rPr>
        <w:t>Oberle D et al.  ·  Euro Surveill  ·  Juli 2026  ·  PMID 42535289</w:t>
      </w:r>
    </w:p>
    <w:p>
      <w:r>
        <w:t>Überwachung unerwünschter Ereignisse nach MVA-BN-Impfung gegen Mpox in Deutschland Juni 2022 bis Februar 2024 bei 78.739 verabreichten Dosen.</w:t>
      </w:r>
    </w:p>
    <w:p>
      <w:r>
        <w:rPr>
          <w:b/>
        </w:rPr>
        <w:t xml:space="preserve">Ergebnis: </w:t>
      </w:r>
      <w:r>
        <w:t>32 Einzelfallberichte wurden identifiziert, davon 7 schwerwiegend; 87 unerwünschte Ereignisse insgesamt gemeldet (98,7 pro 100.000 Dosen adjustiert). Das Sicherheitsprofil entsprach der Produktcharakterisierung; keine neuen Sicherheitssignale wurden identifiziert. Lokale und systemische Reaktionen waren überwiegend mild bis moderat.</w:t>
      </w:r>
    </w:p>
    <w:p>
      <w:r>
        <w:rPr>
          <w:b/>
          <w:sz w:val="19"/>
        </w:rPr>
        <w:t xml:space="preserve">Übertragbarkeit: </w:t>
      </w:r>
      <w:r>
        <w:rPr>
          <w:sz w:val="19"/>
        </w:rPr>
        <w:t>Deutschland, eigenes Surveillancesystem, direkt übertragbar</w:t>
      </w:r>
    </w:p>
    <w:p>
      <w:r>
        <w:rPr>
          <w:color w:val="5A7D3A"/>
          <w:sz w:val="18"/>
        </w:rPr>
        <w:t>https://pubmed.ncbi.nlm.nih.gov/42535289/</w:t>
      </w:r>
    </w:p>
    <w:p>
      <w:pPr>
        <w:pStyle w:val="Heading2"/>
      </w:pPr>
      <w:r>
        <w:t>Determinanten der Influenza- und COVID-19-Impfquoten bei Hochrisikopatienten</w:t>
      </w:r>
    </w:p>
    <w:p>
      <w:r>
        <w:rPr>
          <w:i/>
          <w:color w:val="666666"/>
          <w:sz w:val="18"/>
        </w:rPr>
        <w:t>Grape L et al.  ·  Hum Vaccin Immunother  ·  28.07.2026  ·  PMID 42518305</w:t>
      </w:r>
    </w:p>
    <w:p>
      <w:r>
        <w:t>Querschnittsstudie mit semistandardisierten Interviews und Patientenakten bei 600 Notaufnahme-Patienten in Nordschweden zur Identifikation von Impfquoten und Barrieren bei Hochrisikogruppen.</w:t>
      </w:r>
    </w:p>
    <w:p>
      <w:r>
        <w:rPr>
          <w:b/>
        </w:rPr>
        <w:t xml:space="preserve">Ergebnis: </w:t>
      </w:r>
      <w:r>
        <w:t>Quote unter berechtigten Personen: 52,0% für Influenza, 54,2% für COVID-19. Koinfektion beider Impfstoffe hoch (aOR 55,33). Männliches Geschlecht (aOR 0,57), jüngeres Alter (aOR 0,50), Rauchen (aOR 0,43) und nur altersbasierte Berechtigung (aOR 0,41) waren mit niedriger Impfakzeptanz assoziiert. Gemeindeebene-Determinanten zeigten wenig Einfluss.</w:t>
      </w:r>
    </w:p>
    <w:p>
      <w:r>
        <w:rPr>
          <w:b/>
          <w:sz w:val="19"/>
        </w:rPr>
        <w:t xml:space="preserve">Übertragbarkeit: </w:t>
      </w:r>
      <w:r>
        <w:rPr>
          <w:sz w:val="19"/>
        </w:rPr>
        <w:t>Skandinavien, deutsches Versicherungssystem ähnlich, aber Datenquellen und Populationsmerkmale unterscheiden sich</w:t>
      </w:r>
    </w:p>
    <w:p>
      <w:r>
        <w:rPr>
          <w:color w:val="5A7D3A"/>
          <w:sz w:val="18"/>
        </w:rPr>
        <w:t>https://pubmed.ncbi.nlm.nih.gov/42518305/</w:t>
      </w:r>
    </w:p>
    <w:p>
      <w:pPr>
        <w:pStyle w:val="Heading2"/>
      </w:pPr>
      <w:r>
        <w:t>Null-Dosis-Kinder in Madagaskar identifizieren und erreichen</w:t>
      </w:r>
    </w:p>
    <w:p>
      <w:r>
        <w:rPr>
          <w:i/>
          <w:color w:val="666666"/>
          <w:sz w:val="18"/>
        </w:rPr>
        <w:t>Muller N et al.  ·  Bull World Health Organ  ·  01.08.2026  ·  PMID 42516117</w:t>
      </w:r>
    </w:p>
    <w:p>
      <w:r>
        <w:t>Gemeindegestützte Erhebung zur Ermittlung von Kindern ohne DTP-Impfdokumentation in 16 südmadagassischen Distrikten (August 2024–Juni 2025) mit 3.975 ausgebildeten Gemeindegesundheitshelfern und digitalen Werkzeugen.</w:t>
      </w:r>
    </w:p>
    <w:p>
      <w:r>
        <w:rPr>
          <w:b/>
        </w:rPr>
        <w:t xml:space="preserve">Ergebnis: </w:t>
      </w:r>
      <w:r>
        <w:t>81% der fokontanys (3.538/4.347) aktualisierten Register. Von 368.227 erfassten Kindern unter 5 Jahren hatten 58% (213.173) keine dokumentierte DTP-Dosis. Distriktweite Prävalenz von Null-Dosis-Kindern lag zwischen 25% und 86%. 42.700 Null-Dosis-Kinder wurden mit DTP geimpft und übertrafen Programmziel vorzeitig.</w:t>
      </w:r>
    </w:p>
    <w:p>
      <w:r>
        <w:rPr>
          <w:b/>
          <w:sz w:val="19"/>
        </w:rPr>
        <w:t xml:space="preserve">Übertragbarkeit: </w:t>
      </w:r>
      <w:r>
        <w:rPr>
          <w:sz w:val="19"/>
        </w:rPr>
        <w:t>Afrikanisches Setting; Digitale Hilfsmittel und Community-Engagement lokal anpassbar, aber Registrierungsinfrastruktur grundverschieden von Deutschland</w:t>
      </w:r>
    </w:p>
    <w:p>
      <w:r>
        <w:rPr>
          <w:color w:val="5A7D3A"/>
          <w:sz w:val="18"/>
        </w:rPr>
        <w:t>https://pubmed.ncbi.nlm.nih.gov/42516117/</w:t>
      </w:r>
    </w:p>
    <w:p>
      <w:pPr>
        <w:pStyle w:val="Heading2"/>
      </w:pPr>
      <w:r>
        <w:t>Impfskepsis im Kriegsgebiet Ukraine: Verhaltensmodellierung von Umfragedaten</w:t>
      </w:r>
    </w:p>
    <w:p>
      <w:r>
        <w:rPr>
          <w:i/>
          <w:color w:val="666666"/>
          <w:sz w:val="18"/>
        </w:rPr>
        <w:t>Naeem A et al.  ·  Health Policy  ·  17.07.2026  ·  PMID 42508188</w:t>
      </w:r>
    </w:p>
    <w:p>
      <w:r>
        <w:t>Agent-basierte Modellierung (ABM) von Impfverhalten in der konfliktbetroffenen Ukraine basierend auf Querschnittsbefragung in 557 Hromadas unter laufendem Krieg; Simulation der Wechselwirkung zwischen Verhaltens-, Struktur- und Sozialvariablen.</w:t>
      </w:r>
    </w:p>
    <w:p>
      <w:r>
        <w:rPr>
          <w:b/>
        </w:rPr>
        <w:t xml:space="preserve">Ergebnis: </w:t>
      </w:r>
      <w:r>
        <w:t>ABM zeigte, dass Impfakzeptanz durch Wechselspiel von Zugangsbarrieren und Peereinfluss gesteuert wird. Glaubenswechsel erreichten 88%; Vakzinierungsquote stieg um 3–15% durch Zugangsbeseitigung. Peer-Dynamiken erhöhten Impfquoten auf 69–89%. Peer-Konformität war dominanter Treiber, was auf Kollektivmechanismus zwischen Sozialsteckung und Verhaltensadoption hindeutet.</w:t>
      </w:r>
    </w:p>
    <w:p>
      <w:r>
        <w:rPr>
          <w:b/>
          <w:sz w:val="19"/>
        </w:rPr>
        <w:t xml:space="preserve">Übertragbarkeit: </w:t>
      </w:r>
      <w:r>
        <w:rPr>
          <w:sz w:val="19"/>
        </w:rPr>
        <w:t>Konfliktzone, begrenzt auf Kriegssituationen übertragbar; Methodologie der Verhaltensmodellierung relevant</w:t>
      </w:r>
    </w:p>
    <w:p>
      <w:r>
        <w:rPr>
          <w:color w:val="5A7D3A"/>
          <w:sz w:val="18"/>
        </w:rPr>
        <w:t>https://pubmed.ncbi.nlm.nih.gov/42508188/</w:t>
      </w:r>
    </w:p>
    <w:p>
      <w:pPr>
        <w:pStyle w:val="Heading2"/>
      </w:pPr>
      <w:r>
        <w:t>XBB.1.5-Impfstoff gegen schwere COVID-19 bei immungeschwächten Erwachsenen</w:t>
      </w:r>
    </w:p>
    <w:p>
      <w:r>
        <w:rPr>
          <w:i/>
          <w:color w:val="666666"/>
          <w:sz w:val="18"/>
        </w:rPr>
        <w:t>Blake A et al.  ·  Expert Rev Vaccines  ·  31.12.2026  ·  PMID 42504085</w:t>
      </w:r>
    </w:p>
    <w:p>
      <w:r>
        <w:t>Retrospektive multländer-Kohortenstudie mit elektronischen Gesundheitsakten in Belgien, Dänemark, Italien, Portugal, Spanien (Navarra) und Schweden zur Wirksamkeit des angepassten XBB.1.5-Impfstoffs gegen Hospitalisierung und Tod bei Immungeschwächten (ICPs).</w:t>
      </w:r>
    </w:p>
    <w:p>
      <w:r>
        <w:rPr>
          <w:b/>
        </w:rPr>
        <w:t xml:space="preserve">Ergebnis: </w:t>
      </w:r>
      <w:r>
        <w:t>XBB.1.5-Impfstoffwirksamkeit (VE) betrug 52% (95%-KI 41–60) gegen Hospitalisierung und 75% (95%-KI 60–84) gegen Tod in den ersten 14–59 Tagen nach Impfung. VE nahm mit zeitlichem Abstand ab; kein Schutz mehr nach 180–365 Tagen. Moderate Schutzwirkung innerhalb von 120 Tagen beobachtet.</w:t>
      </w:r>
    </w:p>
    <w:p>
      <w:r>
        <w:rPr>
          <w:b/>
          <w:sz w:val="19"/>
        </w:rPr>
        <w:t xml:space="preserve">Übertragbarkeit: </w:t>
      </w:r>
      <w:r>
        <w:rPr>
          <w:sz w:val="19"/>
        </w:rPr>
        <w:t>Europäische EHR-Netzwerk; vergleichbare Gesundheitssysteme (Belgien, Dänemark, Schweden, südliche EU)</w:t>
      </w:r>
    </w:p>
    <w:p>
      <w:r>
        <w:rPr>
          <w:color w:val="5A7D3A"/>
          <w:sz w:val="18"/>
        </w:rPr>
        <w:t>https://pubmed.ncbi.nlm.nih.gov/42504085/</w:t>
      </w:r>
    </w:p>
    <w:p>
      <w:pPr>
        <w:pStyle w:val="Heading1"/>
      </w:pPr>
      <w:r>
        <w:t>Aufgenommen am 28.08.2026</w:t>
      </w:r>
    </w:p>
    <w:p>
      <w:pPr>
        <w:pStyle w:val="Heading2"/>
      </w:pPr>
      <w:r>
        <w:t>Influenza-Impfung reduziert Todesfälle bei hospitalisiertem älteren Alter</w:t>
      </w:r>
    </w:p>
    <w:p>
      <w:r>
        <w:rPr>
          <w:i/>
          <w:color w:val="666666"/>
          <w:sz w:val="18"/>
        </w:rPr>
        <w:t>Marques DFP et al.  ·  Expert Rev Vaccines  ·  27.08.2026  ·  PMID 42657682</w:t>
      </w:r>
    </w:p>
    <w:p>
      <w:r>
        <w:t>Retrospektive Kohortenstudie aus dem europäischen I-MOVE-Netzwerk untersuchte die Assoziation zwischen Influenza-Impfung und schweren Outcomes bei ≥65-jährigen mit laborbestätigter Influenza (2015/16–2024/25).</w:t>
      </w:r>
    </w:p>
    <w:p>
      <w:r>
        <w:rPr>
          <w:b/>
        </w:rPr>
        <w:t xml:space="preserve">Ergebnis: </w:t>
      </w:r>
      <w:r>
        <w:t>Bei 4.257 Patienten zeigte Impfung wenig Assoziation mit ICU-Aufnahmen (RRR 11 %, 95% CI: -21–34), aber war mit 26-prozentiger Reduktion der Todesfälle während Hospitalisierung assoziiert (95% CI: 3–43). In der älteren Gruppe ≥80 Jahre betrug die Reduktion der In-Hospital-Mortalität 29%.</w:t>
      </w:r>
    </w:p>
    <w:p>
      <w:r>
        <w:rPr>
          <w:b/>
          <w:sz w:val="19"/>
        </w:rPr>
        <w:t xml:space="preserve">Übertragbarkeit: </w:t>
      </w:r>
      <w:r>
        <w:rPr>
          <w:sz w:val="19"/>
        </w:rPr>
        <w:t>Europäische Klinikdaten, vergleichbare Dokumentationspflichten, direkt auf Deutschland übertragbar.</w:t>
      </w:r>
    </w:p>
    <w:p>
      <w:r>
        <w:rPr>
          <w:color w:val="5A7D3A"/>
          <w:sz w:val="18"/>
        </w:rPr>
        <w:t>https://pubmed.ncbi.nlm.nih.gov/42657682/</w:t>
      </w:r>
    </w:p>
    <w:p>
      <w:pPr>
        <w:pStyle w:val="Heading2"/>
      </w:pPr>
      <w:r>
        <w:t>Unregistrierte Migranten-Kinder unterimpft: Rechtszugang ist zentral</w:t>
      </w:r>
    </w:p>
    <w:p>
      <w:r>
        <w:rPr>
          <w:i/>
          <w:color w:val="666666"/>
          <w:sz w:val="18"/>
        </w:rPr>
        <w:t>Oo SM et al.  ·  Med Sci (Basel)  ·  02.08.2026  ·  PMID 42646586</w:t>
      </w:r>
    </w:p>
    <w:p>
      <w:r>
        <w:t>Querschnittstudie mit 423 burmesischen Migrantenkinder unter 7 Jahren in Nord-Thailand; Faktoren für unvollständige Impfungen wurden gemessen (2025).</w:t>
      </w:r>
    </w:p>
    <w:p>
      <w:r>
        <w:rPr>
          <w:b/>
        </w:rPr>
        <w:t xml:space="preserve">Ergebnis: </w:t>
      </w:r>
      <w:r>
        <w:t>21,5 % waren unterimpft. Unabhängige Risikofaktoren: Fehlen von Geburtsregistrierung (aOR 9,52, 95% CI 3,74–24,27), fehlende Krankenversicherung (aOR 14,03, 95% CI 6,45–30,54), Rückkehr-Migration (aOR 19,05, 95% CI 8,48–44,13), Zeitbarrieren (aOR 4,09, 95% CI 1,20–13,94) und finanzielle Barrieren (aOR 7,07, 95% CI 1,67–29,91).</w:t>
      </w:r>
    </w:p>
    <w:p>
      <w:r>
        <w:rPr>
          <w:b/>
          <w:sz w:val="19"/>
        </w:rPr>
        <w:t xml:space="preserve">Übertragbarkeit: </w:t>
      </w:r>
      <w:r>
        <w:rPr>
          <w:sz w:val="19"/>
        </w:rPr>
        <w:t>Thailand; zeigt strukturelle Hürden bei Migranten; relevante Erkenntnisse für Deutschland bei Flucht und Asyl.</w:t>
      </w:r>
    </w:p>
    <w:p>
      <w:r>
        <w:rPr>
          <w:color w:val="5A7D3A"/>
          <w:sz w:val="18"/>
        </w:rPr>
        <w:t>https://pubmed.ncbi.nlm.nih.gov/42646586/</w:t>
      </w:r>
    </w:p>
    <w:p>
      <w:pPr>
        <w:pStyle w:val="Heading2"/>
      </w:pPr>
      <w:r>
        <w:t>Impfskepsis ist stärkste Barriere in fragiler Lage: Somaliisches Feldbeispiel</w:t>
      </w:r>
    </w:p>
    <w:p>
      <w:r>
        <w:rPr>
          <w:i/>
          <w:color w:val="666666"/>
          <w:sz w:val="18"/>
        </w:rPr>
        <w:t>Abdi MS et al.  ·  Front Public Health  ·  11.08.2026  ·  PMID 42643472</w:t>
      </w:r>
    </w:p>
    <w:p>
      <w:r>
        <w:t>Querschnittsbefragung von 384 Betreuungspersonen in IDP-Lagern in Mogadischu nach Diphtherie-Impfkampagne; Einflussfaktoren auf Durchimpfung wurden geprüft (2026).</w:t>
      </w:r>
    </w:p>
    <w:p>
      <w:r>
        <w:rPr>
          <w:b/>
        </w:rPr>
        <w:t xml:space="preserve">Ergebnis: </w:t>
      </w:r>
      <w:r>
        <w:t>Gesamte Impfquote 57,6 %. Höhere Impfbedenken-Scores (Vaccine Safety Concern Scale) waren mit deutlich niedrigerem Impfrisiko assoziiert (aOR 0,72, 95% CI 0,57–0,90). Schulbildung der Eltern, Vertrauen in Gesundheitsarbeiter und wahrgenommener Zugang waren nicht signifikant assoziiert.</w:t>
      </w:r>
    </w:p>
    <w:p>
      <w:r>
        <w:rPr>
          <w:b/>
          <w:sz w:val="19"/>
        </w:rPr>
        <w:t xml:space="preserve">Übertragbarkeit: </w:t>
      </w:r>
      <w:r>
        <w:rPr>
          <w:sz w:val="19"/>
        </w:rPr>
        <w:t>Somaliisch; zeigt, dass Sicherheitsbedenken auch bei fragilen Populationen zentral sind; Lernpunkte für Notfall-Impfkampagnen.</w:t>
      </w:r>
    </w:p>
    <w:p>
      <w:r>
        <w:rPr>
          <w:color w:val="5A7D3A"/>
          <w:sz w:val="18"/>
        </w:rPr>
        <w:t>https://pubmed.ncbi.nlm.nih.gov/42643472/</w:t>
      </w:r>
    </w:p>
    <w:p>
      <w:pPr>
        <w:pStyle w:val="Heading2"/>
      </w:pPr>
      <w:r>
        <w:t>Gesunde-Impfling-Effekt bei COVID-19-Vakzine in älteren Gruppen</w:t>
      </w:r>
    </w:p>
    <w:p>
      <w:r>
        <w:rPr>
          <w:i/>
          <w:color w:val="666666"/>
          <w:sz w:val="18"/>
        </w:rPr>
        <w:t>Lyth J et al.  ·  Nat Commun  ·  08.08.2026  ·  PMID 42570961</w:t>
      </w:r>
    </w:p>
    <w:p>
      <w:r>
        <w:t>Schwedenweite Kohortenstudie in Bevölkerung ≥65 Jahren untersuchte die Effektivität der 2024–2025 JN.1-adaptierten COVID-19-Vakzine gegen Hospitalisierung und als Negativkontrolle All-Cause-Mortalität (N=245.696, Oktober 2024–März 2025).</w:t>
      </w:r>
    </w:p>
    <w:p>
      <w:r>
        <w:rPr>
          <w:b/>
        </w:rPr>
        <w:t xml:space="preserve">Ergebnis: </w:t>
      </w:r>
      <w:r>
        <w:t>VE gegen COVID-Hospitalisierung 75 % (95% CI 70–79 %), bei Vorimpfung 2023–24 sogar 84 % (95% CI 80–87 %). Kritisch: All-Cause-Mortalität (Negativkontrolle) war in der geimpften Gruppe um 57 % niedriger (HR 0,43, 95% CI 0,40–0,45), was auf Selektionseffekte durch Frailty hindeutet.</w:t>
      </w:r>
    </w:p>
    <w:p>
      <w:r>
        <w:rPr>
          <w:b/>
          <w:sz w:val="19"/>
        </w:rPr>
        <w:t xml:space="preserve">Übertragbarkeit: </w:t>
      </w:r>
      <w:r>
        <w:rPr>
          <w:sz w:val="19"/>
        </w:rPr>
        <w:t>Skandinavisch, vergleichbares Versorgungssystem; Befund zu Selektionsverzerrung universell relevant.</w:t>
      </w:r>
    </w:p>
    <w:p>
      <w:r>
        <w:rPr>
          <w:color w:val="5A7D3A"/>
          <w:sz w:val="18"/>
        </w:rPr>
        <w:t>https://pubmed.ncbi.nlm.nih.gov/42570961/</w:t>
      </w:r>
    </w:p>
    <w:p>
      <w:pPr>
        <w:pStyle w:val="Heading2"/>
      </w:pPr>
      <w:r>
        <w:t>Schulungskurs verbessert Wissen von Apothekern zur Impfung</w:t>
      </w:r>
    </w:p>
    <w:p>
      <w:r>
        <w:rPr>
          <w:i/>
          <w:color w:val="666666"/>
          <w:sz w:val="18"/>
        </w:rPr>
        <w:t>Waszkiewicz M et al.  ·  Med Sci Monit  ·  05.08.2026  ·  PMID 42552681</w:t>
      </w:r>
    </w:p>
    <w:p>
      <w:r>
        <w:t>Pre-post-Studie in Polen evaluierte Wissenszuwachs bei Apothekern nach Fortbildung zur Influenza- und Pneumokokken-Impfung (Februar 2024–Juli 2025).</w:t>
      </w:r>
    </w:p>
    <w:p>
      <w:r>
        <w:rPr>
          <w:b/>
        </w:rPr>
        <w:t xml:space="preserve">Ergebnis: </w:t>
      </w:r>
      <w:r>
        <w:t>Unter 327 Absolventen stieg das Testscore signifikant um 4,7 Punkte (Mdiff = –4,67, 95% CI: –4,99 bis –4,34, d = 1,55, p &lt; 0,001). Das entspricht ca. 23 % der maximalen Testscore-Steigerung und wurde als großer Effekt beurteilt.</w:t>
      </w:r>
    </w:p>
    <w:p>
      <w:r>
        <w:rPr>
          <w:b/>
          <w:sz w:val="19"/>
        </w:rPr>
        <w:t xml:space="preserve">Übertragbarkeit: </w:t>
      </w:r>
      <w:r>
        <w:rPr>
          <w:sz w:val="19"/>
        </w:rPr>
        <w:t>Polen hat Apothekern 2024 Impfkompetenz übertragen; strukturiertes Angebot seit kurzem auch in Deutschland möglich.</w:t>
      </w:r>
    </w:p>
    <w:p>
      <w:r>
        <w:rPr>
          <w:color w:val="5A7D3A"/>
          <w:sz w:val="18"/>
        </w:rPr>
        <w:t>https://pubmed.ncbi.nlm.nih.gov/42552681/</w:t>
      </w:r>
    </w:p>
    <w:p>
      <w:pPr>
        <w:pStyle w:val="Heading2"/>
      </w:pPr>
      <w:r>
        <w:t>Schulkrankenschwestern unterverimpfter Gemeinden: HPV-Impfung braucht Systemunterstützung</w:t>
      </w:r>
    </w:p>
    <w:p>
      <w:r>
        <w:rPr>
          <w:i/>
          <w:color w:val="666666"/>
          <w:sz w:val="18"/>
        </w:rPr>
        <w:t>Avermark H et al.  ·  Hum Vaccin Immunother  ·  29.07.2026  ·  PMID 42527395</w:t>
      </w:r>
    </w:p>
    <w:p>
      <w:r>
        <w:t>Qualitative Studie mit 21 Interviews von Schulkrankenschwestern in unterversorgten Stockholmer Stadtteilen zur HPV-Impfung von Jugendlichen (Juni–November 2024).</w:t>
      </w:r>
    </w:p>
    <w:p>
      <w:r>
        <w:rPr>
          <w:b/>
        </w:rPr>
        <w:t xml:space="preserve">Ergebnis: </w:t>
      </w:r>
      <w:r>
        <w:t>Drei Themen: (1) Schulkrankenschwestern tragen HPV-Impfung allein, ohne institutionelle Unterstützung; (2) Duale Verantwortung zwischen Einzelbetreuung und Public Health schafft Rollenkonflikte; (3) Schwierigkeit im Umgang mit Tabuisierung von HPV und Sexualität. Hohe Arbeitsbelastung und normative Vorstellungen zu Sex behindern Uptake.</w:t>
      </w:r>
    </w:p>
    <w:p>
      <w:r>
        <w:rPr>
          <w:b/>
          <w:sz w:val="19"/>
        </w:rPr>
        <w:t xml:space="preserve">Übertragbarkeit: </w:t>
      </w:r>
      <w:r>
        <w:rPr>
          <w:sz w:val="19"/>
        </w:rPr>
        <w:t>Schweden, ähnliches Schulsystem und Impfprogramm; zeigt Systemdefizite bei dezentraler HPV-Angebotsumsetzung.</w:t>
      </w:r>
    </w:p>
    <w:p>
      <w:r>
        <w:rPr>
          <w:color w:val="5A7D3A"/>
          <w:sz w:val="18"/>
        </w:rPr>
        <w:t>https://pubmed.ncbi.nlm.nih.gov/42527395/</w:t>
      </w:r>
    </w:p>
    <w:p>
      <w:pPr>
        <w:pStyle w:val="Heading1"/>
      </w:pPr>
      <w:r>
        <w:t>Aufgenommen am 27.08.2026</w:t>
      </w:r>
    </w:p>
    <w:p>
      <w:pPr>
        <w:pStyle w:val="Heading2"/>
      </w:pPr>
      <w:r>
        <w:t>Finnlands zentrales Impfsystem erreicht hohe Quoten, kämpft aber mit Eigenverantwortung und Chancengerechtigkeit</w:t>
      </w:r>
    </w:p>
    <w:p>
      <w:r>
        <w:rPr>
          <w:i/>
          <w:color w:val="666666"/>
          <w:sz w:val="18"/>
        </w:rPr>
        <w:t>Pattyn J et al.  ·  Hum Vaccin Immunother  ·  26.08.2026  ·  PMID 42647143</w:t>
      </w:r>
    </w:p>
    <w:p>
      <w:r>
        <w:t>Eine strukturierte Literaturanalyse mit Experteneingaben beschrieb Finnlands National Vaccination Program (NVP) für Erwachsene, seine Stärken und Hürden.</w:t>
      </w:r>
    </w:p>
    <w:p>
      <w:r>
        <w:rPr>
          <w:b/>
        </w:rPr>
        <w:t xml:space="preserve">Ergebnis: </w:t>
      </w:r>
      <w:r>
        <w:t>Finnlands zentralisiertes, kostenlos bereitgestelltes NVP mit Bevölkerungsregistern erlaubt präzise Monitoring von Abdeckung, Sicherheit und Wirkung. Herausforderungen: Impfung ist individuelle Verantwortung (Compliance-Problem), Kosten für nicht-NVP-Impfstoffe erzeugen Ungleichheit, Impfvertrauen leicht rückläufig. Die CUBE wurde gegründet, um Verhaltensbarrieren zu verstehen.</w:t>
      </w:r>
    </w:p>
    <w:p>
      <w:r>
        <w:rPr>
          <w:b/>
          <w:sz w:val="19"/>
        </w:rPr>
        <w:t xml:space="preserve">Übertragbarkeit: </w:t>
      </w:r>
      <w:r>
        <w:rPr>
          <w:sz w:val="19"/>
        </w:rPr>
        <w:t>skandinavisch mit Impfregister; zeigt Möglichkeiten und Limits zentralisierter Systeme.</w:t>
      </w:r>
    </w:p>
    <w:p>
      <w:r>
        <w:rPr>
          <w:color w:val="5A7D3A"/>
          <w:sz w:val="18"/>
        </w:rPr>
        <w:t>https://pubmed.ncbi.nlm.nih.gov/42647143/</w:t>
      </w:r>
    </w:p>
    <w:p>
      <w:pPr>
        <w:pStyle w:val="Heading2"/>
      </w:pPr>
      <w:r>
        <w:t>HPV-Wissen und Vertrauen in Gesundheitsbehörden prägen Impfbereitschaft in Rumänien</w:t>
      </w:r>
    </w:p>
    <w:p>
      <w:r>
        <w:rPr>
          <w:i/>
          <w:color w:val="666666"/>
          <w:sz w:val="18"/>
        </w:rPr>
        <w:t>Nati ID et al.  ·  Med Sci (Basel)  ·  25.07.2026  ·  PMID 42646566</w:t>
      </w:r>
    </w:p>
    <w:p>
      <w:r>
        <w:t>Eine rumänische Querschnittsumfrage untersuchte kognitive und institutionelle Faktoren für HPV-Impfbereitschaft bei erwachsenen Frauen.</w:t>
      </w:r>
    </w:p>
    <w:p>
      <w:r>
        <w:rPr>
          <w:b/>
        </w:rPr>
        <w:t xml:space="preserve">Ergebnis: </w:t>
      </w:r>
      <w:r>
        <w:t>Unter 368 Befragten lag die Impfquote nur bei 28,6 %. Hohes HPV-Wissen korrelierte mit Impfbereitschaft (p=0,001), ebenso Vertrauen in Behörden. Digitale Fehlinformation zeigte schwachen negativen Zusammenhang mit Wissen, beeinflusste aber Impfbereitschaft nicht direkt. Die Autoren empfehlen Übergang von optionalem zu aktivem Angebot (Opt-out-Modell).</w:t>
      </w:r>
    </w:p>
    <w:p>
      <w:r>
        <w:rPr>
          <w:b/>
          <w:sz w:val="19"/>
        </w:rPr>
        <w:t xml:space="preserve">Übertragbarkeit: </w:t>
      </w:r>
      <w:r>
        <w:rPr>
          <w:sz w:val="19"/>
        </w:rPr>
        <w:t>Süd-/Osteuropa mit ähnlicher administrativer Struktur; zeigt Wirkung von Vertrauen und Struktur.</w:t>
      </w:r>
    </w:p>
    <w:p>
      <w:r>
        <w:rPr>
          <w:color w:val="5A7D3A"/>
          <w:sz w:val="18"/>
        </w:rPr>
        <w:t>https://pubmed.ncbi.nlm.nih.gov/42646566/</w:t>
      </w:r>
    </w:p>
    <w:p>
      <w:pPr>
        <w:pStyle w:val="Heading2"/>
      </w:pPr>
      <w:r>
        <w:t>Lesbarer Weblink in digitalen Impfeinladungen erhöht Vertrauen und Buchungsbereitschaft</w:t>
      </w:r>
    </w:p>
    <w:p>
      <w:r>
        <w:rPr>
          <w:i/>
          <w:color w:val="666666"/>
          <w:sz w:val="18"/>
        </w:rPr>
        <w:t>Oakley CM et al.  ·  J Med Internet Res  ·  25.08.2026  ·  PMID 42640841</w:t>
      </w:r>
    </w:p>
    <w:p>
      <w:r>
        <w:t>Drei randomisierte Onlinestudien mit britischen Teilnehmern testeten, wie das Design von Web-Links in digitalen COVID-19-Impfeinladungen Vertrauen und Buchungsbereitschaft beeinflusst.</w:t>
      </w:r>
    </w:p>
    <w:p>
      <w:r>
        <w:rPr>
          <w:b/>
        </w:rPr>
        <w:t xml:space="preserve">Ergebnis: </w:t>
      </w:r>
      <w:r>
        <w:t>Im Kontrollarm (komplizierter Link) waren 63 % unsicher oder unwillig, ihn zu nutzen. Ein klarer Link (‚vaccine-booking.nhs.uk') verbesserte das Vertrauen (β=0,26 in Exp.1, β=0,24 in Exp.3), ebenso ein Text-eingebetteter Link (β=0,18 in Exp.2, β=0,17 in Exp.3). Ein verkürzter Link brachte keinen Gewinn. Einfache, erkennbare Links erhöhten Buchungsintention über verbessertes Vertrauen und Host-Erkennung.</w:t>
      </w:r>
    </w:p>
    <w:p>
      <w:r>
        <w:rPr>
          <w:b/>
          <w:sz w:val="19"/>
        </w:rPr>
        <w:t xml:space="preserve">Übertragbarkeit: </w:t>
      </w:r>
      <w:r>
        <w:rPr>
          <w:sz w:val="19"/>
        </w:rPr>
        <w:t>Großbritannien; einfache Designprinzipien auch für deutsches Portal- und E-Mail-System anwendbar.</w:t>
      </w:r>
    </w:p>
    <w:p>
      <w:r>
        <w:rPr>
          <w:color w:val="5A7D3A"/>
          <w:sz w:val="18"/>
        </w:rPr>
        <w:t>https://pubmed.ncbi.nlm.nih.gov/42640841/</w:t>
      </w:r>
    </w:p>
    <w:p>
      <w:pPr>
        <w:pStyle w:val="Heading2"/>
      </w:pPr>
      <w:r>
        <w:t>Schwere Nebenwirkungen nach COVID-19-Auffrischung vermindern die Bereitschaft zur erneuten Impfung</w:t>
      </w:r>
    </w:p>
    <w:p>
      <w:r>
        <w:rPr>
          <w:i/>
          <w:color w:val="666666"/>
          <w:sz w:val="18"/>
        </w:rPr>
        <w:t>Huiberts AJ et al.  ·  Vaccine  ·  17.09.2026  ·  PMID 42603508</w:t>
      </w:r>
    </w:p>
    <w:p>
      <w:r>
        <w:t>Eine niederländische Kohortenstudie untersuchte, ob das Auftreten und die Schwere von Nebenwirkungen nach COVID-19-Auffrischimpfungen die Bereitschaft zur Impfung im Folgejahr beeinflussen.</w:t>
      </w:r>
    </w:p>
    <w:p>
      <w:r>
        <w:rPr>
          <w:b/>
        </w:rPr>
        <w:t xml:space="preserve">Ergebnis: </w:t>
      </w:r>
      <w:r>
        <w:t>Von 11.010 Geimpften (2022) waren 73,7 % im nächsten Jahr erneut geimpft. Systémische Nebenwirkungen 2022 waren mit niedrigerem Risiko für Wiederimpfung 2023 verbunden (OR 0,84, 95%-KI 0,76–0,93), besonders bei mittleren (OR 0,79) oder schweren Ereignissen (OR 0,45) sowie Dauer &gt;5 Tagen (OR 0,72). Das Muster wiederholte sich für 2024. Dies zeigt, dass direkte Erfahrungen mit Nebenwirkungen künftige Impfbereitschaft senken.</w:t>
      </w:r>
    </w:p>
    <w:p>
      <w:r>
        <w:rPr>
          <w:b/>
          <w:sz w:val="19"/>
        </w:rPr>
        <w:t xml:space="preserve">Übertragbarkeit: </w:t>
      </w:r>
      <w:r>
        <w:rPr>
          <w:sz w:val="19"/>
        </w:rPr>
        <w:t>Niederlande mit Impfregister; deutsche Routinedaten vergleichbar.</w:t>
      </w:r>
    </w:p>
    <w:p>
      <w:r>
        <w:rPr>
          <w:color w:val="5A7D3A"/>
          <w:sz w:val="18"/>
        </w:rPr>
        <w:t>https://pubmed.ncbi.nlm.nih.gov/42603508/</w:t>
      </w:r>
    </w:p>
    <w:p>
      <w:pPr>
        <w:pStyle w:val="Heading2"/>
      </w:pPr>
      <w:r>
        <w:t>Messaging zu ‚gesundem Altern' erhöht Impfbereitschaft bei älteren Erwachsenen in Frankreich</w:t>
      </w:r>
    </w:p>
    <w:p>
      <w:r>
        <w:rPr>
          <w:i/>
          <w:color w:val="666666"/>
          <w:sz w:val="18"/>
        </w:rPr>
        <w:t>Addario A et al.  ·  Vaccine  ·  17.09.2026  ·  PMID 42594637</w:t>
      </w:r>
    </w:p>
    <w:p>
      <w:r>
        <w:t>Eine französische Querschnittsumfrage mit Social-Marketing-Ansatz testete, welche Botschaften und Zugangsmerkmale die Impfintention bei Älteren (≥60 Jahren) verbessern.</w:t>
      </w:r>
    </w:p>
    <w:p>
      <w:r>
        <w:rPr>
          <w:b/>
        </w:rPr>
        <w:t xml:space="preserve">Ergebnis: </w:t>
      </w:r>
      <w:r>
        <w:t>Von 2.416 Befragten hatten 15,6 % hohe, 81,7 % mittlere und 2,8 % niedrige Impfbereitschaft. Zustimmung, dass Impfung zu gesundem Altern beiträgt, stieg von 3 % (niedrig) auf 56 % (mittel) und 78 % (hoch). Botschaften zu Schlag- und Herzinfarktrisiko zeigten höchste Intention (69–67 %). Gültigkeitsvoucher wurden positiv aufgenommen (57–81 % würden impfen lassen). Ärzte waren vertrauteste Informationsquelle (93–95 %).</w:t>
      </w:r>
    </w:p>
    <w:p>
      <w:r>
        <w:rPr>
          <w:b/>
          <w:sz w:val="19"/>
        </w:rPr>
        <w:t xml:space="preserve">Übertragbarkeit: </w:t>
      </w:r>
      <w:r>
        <w:rPr>
          <w:sz w:val="19"/>
        </w:rPr>
        <w:t>Frankreich mit ähnlichem Versicherungssystem; Fokus auf Rahmung und Zugang in DACH übertragbar.</w:t>
      </w:r>
    </w:p>
    <w:p>
      <w:r>
        <w:rPr>
          <w:color w:val="5A7D3A"/>
          <w:sz w:val="18"/>
        </w:rPr>
        <w:t>https://pubmed.ncbi.nlm.nih.gov/42594637/</w:t>
      </w:r>
    </w:p>
    <w:p>
      <w:pPr>
        <w:pStyle w:val="Heading2"/>
      </w:pPr>
      <w:r>
        <w:t>Omicron-JN.1-Impfstoff bot in den Niederlanden nur begrenzte Zusatzschutzwirkung</w:t>
      </w:r>
    </w:p>
    <w:p>
      <w:r>
        <w:rPr>
          <w:i/>
          <w:color w:val="666666"/>
          <w:sz w:val="18"/>
        </w:rPr>
        <w:t>Huiberts AJ et al.  ·  Vaccine  ·  17.09.2026  ·  PMID 42585808</w:t>
      </w:r>
    </w:p>
    <w:p>
      <w:r>
        <w:t>Eine prospektive holländische Kohortenstudie quantifizierte die Wirksamkeit der JN.1-Varianten-angepassten COVID-19-Impfung gegen Infektionen von September 2024 bis Februar 2025.</w:t>
      </w:r>
    </w:p>
    <w:p>
      <w:r>
        <w:rPr>
          <w:b/>
        </w:rPr>
        <w:t xml:space="preserve">Ergebnis: </w:t>
      </w:r>
      <w:r>
        <w:t>Von 4.490 Teilnehmern &lt;60 Jahren waren 29 % geimpft, von 19.349 Älteren 74 %. Bei 2.142 Infektionen betrug die Impfwirksamkeit 16 % (&lt;60 Jahre, 95%-KI –11–36) und 13 % (≥60 Jahre, 95%-KI 2–23). Gegen KP.3.1.1 und XEC unterschied sich der Schutz nicht signifikant. Die begrenzte Schutzwirkung in einer Phase niedriger Inzidenz deutet auf waning immunity hin.</w:t>
      </w:r>
    </w:p>
    <w:p>
      <w:r>
        <w:rPr>
          <w:b/>
          <w:sz w:val="19"/>
        </w:rPr>
        <w:t xml:space="preserve">Übertragbarkeit: </w:t>
      </w:r>
      <w:r>
        <w:rPr>
          <w:sz w:val="19"/>
        </w:rPr>
        <w:t>Niederlande mit vollständiger Impfdokumentation und genetischer Variantenbestimmung.</w:t>
      </w:r>
    </w:p>
    <w:p>
      <w:r>
        <w:rPr>
          <w:color w:val="5A7D3A"/>
          <w:sz w:val="18"/>
        </w:rPr>
        <w:t>https://pubmed.ncbi.nlm.nih.gov/42585808/</w:t>
      </w:r>
    </w:p>
    <w:p>
      <w:pPr>
        <w:pStyle w:val="Heading1"/>
      </w:pPr>
      <w:r>
        <w:t>Aufgenommen am 26.08.2026</w:t>
      </w:r>
    </w:p>
    <w:p>
      <w:pPr>
        <w:pStyle w:val="Heading2"/>
      </w:pPr>
      <w:r>
        <w:t>Influenza-Impfskepsis bei georgischen Gesundheitspersonal senkt Impfquote über drei Jahre</w:t>
      </w:r>
    </w:p>
    <w:p>
      <w:r>
        <w:rPr>
          <w:i/>
          <w:color w:val="666666"/>
          <w:sz w:val="18"/>
        </w:rPr>
        <w:t>Artemchuk O et al.  ·  PLoS One  ·  25.08.2026  ·  PMID 42640914</w:t>
      </w:r>
    </w:p>
    <w:p>
      <w:r>
        <w:t>Prospektive Kohortenstudie in Georgien mit 403 Krankenhausmitarbeitenden über drei Influenza-Saisons (2021–2024): Welche Faktoren beeinflussen die Annahme der jährlichen Influenza-Impfung?</w:t>
      </w:r>
    </w:p>
    <w:p>
      <w:r>
        <w:rPr>
          <w:b/>
        </w:rPr>
        <w:t xml:space="preserve">Ergebnis: </w:t>
      </w:r>
      <w:r>
        <w:t>72 % erhielten mindestens einmal die Impfung, 28 % nie. Mangelndes Vertrauen in Sicherheit (aOR 0,27) und Wirksamkeit (aOR 0,36) sowie das Alter 40–49 Jahre (aOR 2,67) waren die Hauptfaktoren. Eine Klinik hatte deutlich niedrigere Quoten (aOR 0,06).</w:t>
      </w:r>
    </w:p>
    <w:p>
      <w:r>
        <w:rPr>
          <w:b/>
          <w:sz w:val="19"/>
        </w:rPr>
        <w:t xml:space="preserve">Übertragbarkeit: </w:t>
      </w:r>
      <w:r>
        <w:rPr>
          <w:sz w:val="19"/>
        </w:rPr>
        <w:t>Kaukasus-Region mit WHO-Partner, aber begrenzte Übertragbarkeit auf deutsches System ohne Impfregister.</w:t>
      </w:r>
    </w:p>
    <w:p>
      <w:r>
        <w:rPr>
          <w:color w:val="5A7D3A"/>
          <w:sz w:val="18"/>
        </w:rPr>
        <w:t>https://pubmed.ncbi.nlm.nih.gov/42640914/</w:t>
      </w:r>
    </w:p>
    <w:p>
      <w:pPr>
        <w:pStyle w:val="Heading2"/>
      </w:pPr>
      <w:r>
        <w:t>Impfquote bei 24-Monate-Alten in Italien von 92,75 % auf 94,57 % durch Reorganisation der Dienste</w:t>
      </w:r>
    </w:p>
    <w:p>
      <w:r>
        <w:rPr>
          <w:i/>
          <w:color w:val="666666"/>
          <w:sz w:val="18"/>
        </w:rPr>
        <w:t>Scala A et al.  ·  Front Public Health  ·  10.08.2026  ·  PMID 42638716</w:t>
      </w:r>
    </w:p>
    <w:p>
      <w:r>
        <w:t>Qualitäts-Verbesserungsprojekt in ASL Napoli 3 Sud 2022–2024 mit M.A.S.T.E.R.-Framework: Wie ließ sich die gefallene Abdeckung von Primärserien wieder heben?</w:t>
      </w:r>
    </w:p>
    <w:p>
      <w:r>
        <w:rPr>
          <w:b/>
        </w:rPr>
        <w:t xml:space="preserve">Ergebnis: </w:t>
      </w:r>
      <w:r>
        <w:t>Quote 2023: 92,75 % (Rückgang von 94,57 % 2022). Nach Interventionen (standardisierte Erinnerungen, digitale Kalender, Schulung, Logistik-Überprüfung): 2024 → 94,57 % (+1,82 Pp.). Erinnerungen stiegen von 1.248 auf 2.136, vollendete Nachholtermine von 286 auf 612. Pädiater-Kooperation von 54,2 % auf 87,3 %.</w:t>
      </w:r>
    </w:p>
    <w:p>
      <w:r>
        <w:rPr>
          <w:b/>
          <w:sz w:val="19"/>
        </w:rPr>
        <w:t xml:space="preserve">Übertragbarkeit: </w:t>
      </w:r>
      <w:r>
        <w:rPr>
          <w:sz w:val="19"/>
        </w:rPr>
        <w:t>Italien, südeuropäisches Sozialversicherungssystem, Dokumentation ähnlich Deutschland-Anforderungen.</w:t>
      </w:r>
    </w:p>
    <w:p>
      <w:r>
        <w:rPr>
          <w:color w:val="5A7D3A"/>
          <w:sz w:val="18"/>
        </w:rPr>
        <w:t>https://pubmed.ncbi.nlm.nih.gov/42638716/</w:t>
      </w:r>
    </w:p>
    <w:p>
      <w:pPr>
        <w:pStyle w:val="Heading2"/>
      </w:pPr>
      <w:r>
        <w:t>Schwangere in Gambia: Lücken beim COVID-19-Impfstoffzugang trotz neuer Leitlinien</w:t>
      </w:r>
    </w:p>
    <w:p>
      <w:r>
        <w:rPr>
          <w:i/>
          <w:color w:val="666666"/>
          <w:sz w:val="18"/>
        </w:rPr>
        <w:t>Nkereuwem O et al.  ·  BMJ Open  ·  20.08.2026  ·  PMID 42624601</w:t>
      </w:r>
    </w:p>
    <w:p>
      <w:r>
        <w:t>Qualitative Studie in Gambia mit 15 Fachpersonen und 29 Workshop-Teilnehmenden: Welche Barrieren verhindern, dass Schwangere COVID-19-Impfstoffe erhalten?</w:t>
      </w:r>
    </w:p>
    <w:p>
      <w:r>
        <w:rPr>
          <w:b/>
        </w:rPr>
        <w:t xml:space="preserve">Ergebnis: </w:t>
      </w:r>
      <w:r>
        <w:t>Evolvierende Sicherheitsleitlinien minderten Beratungsvertrauen und verstärkten Vaccine Hesitancy. Fragmentierte Dienste (nicht in Schwangerenvorsorge integriert), schwache Dokumentation von Nebenwirkungen und Misinformation waren Kernprobleme. Strategien: frühe Schulung, Koordination über Berufsgruppen, gestärkte Logistik und Sicherheitsmeldung.</w:t>
      </w:r>
    </w:p>
    <w:p>
      <w:r>
        <w:rPr>
          <w:b/>
          <w:sz w:val="19"/>
        </w:rPr>
        <w:t xml:space="preserve">Übertragbarkeit: </w:t>
      </w:r>
      <w:r>
        <w:rPr>
          <w:sz w:val="19"/>
        </w:rPr>
        <w:t>Subsahara-Afrika, aber Befunde zu systemischer Fragmentierung relevant für Integrationsfragen.</w:t>
      </w:r>
    </w:p>
    <w:p>
      <w:r>
        <w:rPr>
          <w:color w:val="5A7D3A"/>
          <w:sz w:val="18"/>
        </w:rPr>
        <w:t>https://pubmed.ncbi.nlm.nih.gov/42624601/</w:t>
      </w:r>
    </w:p>
    <w:p>
      <w:pPr>
        <w:pStyle w:val="Heading1"/>
      </w:pPr>
      <w:r>
        <w:t>Aufgenommen am 24.08.2026</w:t>
      </w:r>
    </w:p>
    <w:p>
      <w:pPr>
        <w:pStyle w:val="Heading2"/>
      </w:pPr>
      <w:r>
        <w:t>Hochdosis-Grippeimpfstoff senkte Krankenhauseinweisungen bei Altenheimbewohnern um 31 Prozent</w:t>
      </w:r>
    </w:p>
    <w:p>
      <w:r>
        <w:rPr>
          <w:i/>
          <w:color w:val="666666"/>
          <w:sz w:val="18"/>
        </w:rPr>
        <w:t>Bricout H et al.  ·  Age Ageing  ·  03.08.2026  ·  PMID 42632918</w:t>
      </w:r>
    </w:p>
    <w:p>
      <w:r>
        <w:t>Französische Kohortenstudie verglich Wirksamkeit von Hochdosis- versus Standarddosis-Grippeimpfstoff gegen grippebedingte Krankenhauseinweisungen bei Bewohnern von Altenpflegeeinrichtungen (2022–2023).</w:t>
      </w:r>
    </w:p>
    <w:p>
      <w:r>
        <w:rPr>
          <w:b/>
        </w:rPr>
        <w:t xml:space="preserve">Ergebnis: </w:t>
      </w:r>
      <w:r>
        <w:t>Hochdosis-Impfstoff reduzierte grippebedingte Krankenhauseinweisungen um 30,8 % (95 % KI: 11,8–45,7 %; p = 0,0029), verglichen mit Standarddosis. Bei Pneumonie oder kombinierten Ergebnissen zeigte sich kein signifikanter Unterschied. Die Studie stützt bevorzugte Verwendung des Hochdosis-Impfstoffs in dieser Hochrisikogruppe.</w:t>
      </w:r>
    </w:p>
    <w:p>
      <w:r>
        <w:rPr>
          <w:b/>
          <w:sz w:val="19"/>
        </w:rPr>
        <w:t xml:space="preserve">Übertragbarkeit: </w:t>
      </w:r>
      <w:r>
        <w:rPr>
          <w:sz w:val="19"/>
        </w:rPr>
        <w:t>Frankreich mit vergleichbarem Sozialversicherungssystem und Langzeitpflege-Dokumentation wie Deutschland.</w:t>
      </w:r>
    </w:p>
    <w:p>
      <w:r>
        <w:rPr>
          <w:color w:val="5A7D3A"/>
          <w:sz w:val="18"/>
        </w:rPr>
        <w:t>https://pubmed.ncbi.nlm.nih.gov/42632918/</w:t>
      </w:r>
    </w:p>
    <w:p>
      <w:pPr>
        <w:pStyle w:val="Heading1"/>
      </w:pPr>
      <w:r>
        <w:t>Aufgenommen am 22.08.2026</w:t>
      </w:r>
    </w:p>
    <w:p>
      <w:pPr>
        <w:pStyle w:val="Heading2"/>
      </w:pPr>
      <w:r>
        <w:t>HPV-Impfung senkt Häufigkeit von Larynx- und Bindehautpapillomen in Dänemark</w:t>
      </w:r>
    </w:p>
    <w:p>
      <w:r>
        <w:rPr>
          <w:i/>
          <w:color w:val="666666"/>
          <w:sz w:val="18"/>
        </w:rPr>
        <w:t>Aakilde M et al.  ·  APMIS  ·  Aug. 2026  ·  PMID 42619272</w:t>
      </w:r>
    </w:p>
    <w:p>
      <w:r>
        <w:t>Register-Studie: 33 juvenile Larynx-, 134 Bindehautpapillom-Patienten 2005–2024 mit HPV-Subtypisierung und Impfstatus-Abfrage.</w:t>
      </w:r>
    </w:p>
    <w:p>
      <w:r>
        <w:rPr>
          <w:b/>
        </w:rPr>
        <w:t xml:space="preserve">Ergebnis: </w:t>
      </w:r>
      <w:r>
        <w:t>Larynxpapillom-Inzidenz sank von 0,190 pro 100.000 (2005–2013) auf 0,107 (2014–2024), nicht signifikant (p=0,145); keine Fälle bei geimpften Müttern. Bindehautpapillom-Inzidenz sank signifikant um 5,3 % pro Jahr (p=0,002). HPV-6/-11 in 74,1 % nachgewiesen. Studie zeigt Schutzeffekt des Impfprogramms auf Bindehautpapillome, juvenile Larynxpapillome bleiben selten und nur bei ungeimpften Müttern.</w:t>
      </w:r>
    </w:p>
    <w:p>
      <w:r>
        <w:rPr>
          <w:b/>
          <w:sz w:val="19"/>
        </w:rPr>
        <w:t xml:space="preserve">Übertragbarkeit: </w:t>
      </w:r>
      <w:r>
        <w:rPr>
          <w:sz w:val="19"/>
        </w:rPr>
        <w:t>Dänemark, nationales Register, vergleichbare nordeuropäische Impfpraxis</w:t>
      </w:r>
    </w:p>
    <w:p>
      <w:r>
        <w:rPr>
          <w:color w:val="5A7D3A"/>
          <w:sz w:val="18"/>
        </w:rPr>
        <w:t>https://pubmed.ncbi.nlm.nih.gov/42619272/</w:t>
      </w:r>
    </w:p>
    <w:p>
      <w:pPr>
        <w:pStyle w:val="Heading2"/>
      </w:pPr>
      <w:r>
        <w:t>Hepatitis-B-Impfquoten bei trans und nicht-binären Menschen in Deutschland: Wer bleibt ungeimpft?</w:t>
      </w:r>
    </w:p>
    <w:p>
      <w:r>
        <w:rPr>
          <w:i/>
          <w:color w:val="666666"/>
          <w:sz w:val="18"/>
        </w:rPr>
        <w:t>Biallas R et al.  ·  BMC Public Health  ·  11.08.2026  ·  PMID 42576212</w:t>
      </w:r>
    </w:p>
    <w:p>
      <w:r>
        <w:t>Online-Survey von 2.358 trans und nicht-binären Personen zu Hepatitis-B-Diagnosen und Impfstatus, RKI-Studie.</w:t>
      </w:r>
    </w:p>
    <w:p>
      <w:r>
        <w:rPr>
          <w:b/>
        </w:rPr>
        <w:t xml:space="preserve">Ergebnis: </w:t>
      </w:r>
      <w:r>
        <w:t>HBV-Prävalenz 0,6 %, Impfquote 56,3 %. Quote höher bei Personen auf dem männlichen Spektrum (PR 1,29) als weiblich/nicht-binär; höher mit Hochschulbildung (PR 1,44) und in Großstädten (PR 1,22). 550 (21,7 %) waren impfempfohlen; von 213 mit negativem Impfstatus waren 65 % unter 30 und hätten Routine-Impfung erhalten sollen. Wissenslücken zu Hepatitis als Hauptprädiktor für niedrige Quote identifiziert.</w:t>
      </w:r>
    </w:p>
    <w:p>
      <w:r>
        <w:rPr>
          <w:b/>
          <w:sz w:val="19"/>
        </w:rPr>
        <w:t xml:space="preserve">Übertragbarkeit: </w:t>
      </w:r>
      <w:r>
        <w:rPr>
          <w:sz w:val="19"/>
        </w:rPr>
        <w:t>RKI-Studie, deutsche Hochrisikopopulation; Ungleichheit nach Bildung, Geschlechtsidentität und Urbanisierung</w:t>
      </w:r>
    </w:p>
    <w:p>
      <w:r>
        <w:rPr>
          <w:color w:val="5A7D3A"/>
          <w:sz w:val="18"/>
        </w:rPr>
        <w:t>https://pubmed.ncbi.nlm.nih.gov/42576212/</w:t>
      </w:r>
    </w:p>
    <w:p>
      <w:pPr>
        <w:pStyle w:val="Heading1"/>
      </w:pPr>
      <w:r>
        <w:t>Aufgenommen am 21.08.2026</w:t>
      </w:r>
    </w:p>
    <w:p>
      <w:pPr>
        <w:pStyle w:val="Heading2"/>
      </w:pPr>
      <w:r>
        <w:t>MenACWY-Impfung und Meningokokken-Carriage bei Studierenden: Wirksamkeitsevidenz aus Carriage-Monitoring</w:t>
      </w:r>
    </w:p>
    <w:p>
      <w:r>
        <w:rPr>
          <w:i/>
          <w:color w:val="666666"/>
          <w:sz w:val="18"/>
        </w:rPr>
        <w:t>Harvey-Cowlishaw T et al.  ·  Front Public Health  ·  05.08.2026  ·  PMID 42621093</w:t>
      </w:r>
    </w:p>
    <w:p>
      <w:r>
        <w:t>Querschnittstudie (September + November 2024) an 400 Studierenden einer UK-Universität mit Keimkultur/PCR und Vollgenomsequenzierung von Meningokokken-Carriern.</w:t>
      </w:r>
    </w:p>
    <w:p>
      <w:r>
        <w:rPr>
          <w:b/>
        </w:rPr>
        <w:t xml:space="preserve">Ergebnis: </w:t>
      </w:r>
      <w:r>
        <w:t>Carriage-Rate Sepember 12,5 %, November 25,3 % (p&lt;0,05). Genogruppe C: null Isolate (100 % Reduktion durch MenACWY-Vakzinierung). Genogruppe Y: null verkappselte Isolate in dieser Kohorte, konsistent mit Impfeffektivität. Genogruppe B: 34,3 % (multipler Clonal Complex, teils hyperinvasiv). MenACWY schützt Studierende effektiv vor W/Y-Carriage; Genogruppe B bleibt Risiko.</w:t>
      </w:r>
    </w:p>
    <w:p>
      <w:r>
        <w:rPr>
          <w:b/>
          <w:sz w:val="19"/>
        </w:rPr>
        <w:t xml:space="preserve">Übertragbarkeit: </w:t>
      </w:r>
      <w:r>
        <w:rPr>
          <w:sz w:val="19"/>
        </w:rPr>
        <w:t>UK, Kariologie-Surveillance, vergleichbare adoleszente Impfprogramme</w:t>
      </w:r>
    </w:p>
    <w:p>
      <w:r>
        <w:rPr>
          <w:color w:val="5A7D3A"/>
          <w:sz w:val="18"/>
        </w:rPr>
        <w:t>https://pubmed.ncbi.nlm.nih.gov/42621093/</w:t>
      </w:r>
    </w:p>
    <w:p>
      <w:pPr>
        <w:pStyle w:val="Heading2"/>
      </w:pPr>
      <w:r>
        <w:t>Vorbuchte Impftermine für COVID-19: Burden-Vergleich und Wirkung auf Uptake-Intention</w:t>
      </w:r>
    </w:p>
    <w:p>
      <w:r>
        <w:rPr>
          <w:i/>
          <w:color w:val="666666"/>
          <w:sz w:val="18"/>
        </w:rPr>
        <w:t>Sanders JG et al.  ·  Vaccine  ·  30.08.2026  ·  PMID 42546637</w:t>
      </w:r>
    </w:p>
    <w:p>
      <w:r>
        <w:t>Formative Evaluationsstudie (Niederlande) in zwei Phasen – qualitativ (15 Interviews) und experimentell (n=1.886) – zur Wirkung von Vorbuchung vs. Selbstbuchung auf Impfintention.</w:t>
      </w:r>
    </w:p>
    <w:p>
      <w:r>
        <w:rPr>
          <w:b/>
        </w:rPr>
        <w:t xml:space="preserve">Ergebnis: </w:t>
      </w:r>
      <w:r>
        <w:t>Phase 1: Vorbuchung wurde als fürsorglich und auch als bevormundend wahrgenommen. Phase 2: Selbstbuchung wurde als weniger belastend wahrgenommen (β=−0,23, p&lt;0,05), führte aber nicht zu höherer Impfintention (aOR=1,11). Auch bei zögerlichen Personen kein Unterschied (aOR=0,88). Vorbuchung verändert COVID-19-Intention nicht – konservative Empfehlung: Selbstbuchung für bereits geimpfte Ältere.</w:t>
      </w:r>
    </w:p>
    <w:p>
      <w:r>
        <w:rPr>
          <w:b/>
          <w:sz w:val="19"/>
        </w:rPr>
        <w:t xml:space="preserve">Übertragbarkeit: </w:t>
      </w:r>
      <w:r>
        <w:rPr>
          <w:sz w:val="19"/>
        </w:rPr>
        <w:t>Niederlande (RIVM), vergleichbares Versicherungssystem und Impfinfrastruktur</w:t>
      </w:r>
    </w:p>
    <w:p>
      <w:r>
        <w:rPr>
          <w:color w:val="5A7D3A"/>
          <w:sz w:val="18"/>
        </w:rPr>
        <w:t>https://pubmed.ncbi.nlm.nih.gov/42546637/</w:t>
      </w:r>
    </w:p>
    <w:p>
      <w:pPr>
        <w:pStyle w:val="Heading1"/>
      </w:pPr>
      <w:r>
        <w:t>Aufgenommen am 20.08.2026</w:t>
      </w:r>
    </w:p>
    <w:p>
      <w:pPr>
        <w:pStyle w:val="Heading2"/>
      </w:pPr>
      <w:r>
        <w:t>Impfquoten in der Schwangerschaft in Deutschland 2004–2022: Was bleibt ungenutzt?</w:t>
      </w:r>
    </w:p>
    <w:p>
      <w:r>
        <w:rPr>
          <w:i/>
          <w:color w:val="666666"/>
          <w:sz w:val="18"/>
        </w:rPr>
        <w:t>Mulanje L et al.  ·  Sci Rep  ·  18.08.2026  ·  PMID 42613346</w:t>
      </w:r>
    </w:p>
    <w:p>
      <w:r>
        <w:t>Eine Analyse von über 2,8 Mio. Schwangerschaften in deutschen Krankenkassendaten zeigte, wie sich Impfquoten in der Schwangerschaft entwickelten.</w:t>
      </w:r>
    </w:p>
    <w:p>
      <w:r>
        <w:rPr>
          <w:b/>
        </w:rPr>
        <w:t xml:space="preserve">Ergebnis: </w:t>
      </w:r>
      <w:r>
        <w:t>Influenza-Impfquote bei Schwangeren stieg von 2 % (2004–2009) auf 19 % (2020–2022), Pertussis von 3 % (2015–2019) auf 37 % (2020–2022). Weniger als 50 % der empfohlenen Schwangerschaftsimpfungen wurden durchgeführt; Gründe bleiben unklar. Etwa 0,3 % erhielten kontraindizierte Lebendimpfstoffe.</w:t>
      </w:r>
    </w:p>
    <w:p>
      <w:r>
        <w:rPr>
          <w:b/>
          <w:sz w:val="19"/>
        </w:rPr>
        <w:t xml:space="preserve">Übertragbarkeit: </w:t>
      </w:r>
      <w:r>
        <w:rPr>
          <w:sz w:val="19"/>
        </w:rPr>
        <w:t>Deutsche Krankenkassendaten mit vollständiger Erfassung, direkt übertragbar auf deutsches Versorgungssystem.</w:t>
      </w:r>
    </w:p>
    <w:p>
      <w:r>
        <w:rPr>
          <w:color w:val="5A7D3A"/>
          <w:sz w:val="18"/>
        </w:rPr>
        <w:t>https://pubmed.ncbi.nlm.nih.gov/42613346/</w:t>
      </w:r>
    </w:p>
    <w:p>
      <w:pPr>
        <w:pStyle w:val="Heading2"/>
      </w:pPr>
      <w:r>
        <w:t>HPV-Impfung für Adoleszente: Verhaltenswissenschaftliche Entwicklung einer Intervention (15–17 Jahre)</w:t>
      </w:r>
    </w:p>
    <w:p>
      <w:r>
        <w:rPr>
          <w:i/>
          <w:color w:val="666666"/>
          <w:sz w:val="18"/>
        </w:rPr>
        <w:t>Flood T et al.  ·  PLoS One  ·  14.08.2026  ·  PMID 42599892</w:t>
      </w:r>
    </w:p>
    <w:p>
      <w:r>
        <w:t>Qualitative Studie mit fokussierten Interviews (Impfschwestern n=26, Schüler n=34, Lehrer/Schulnursen n=18) zur Entwicklung eines theoriegestützten HPV-Interventionsangebots.</w:t>
      </w:r>
    </w:p>
    <w:p>
      <w:r>
        <w:rPr>
          <w:b/>
        </w:rPr>
        <w:t xml:space="preserve">Ergebnis: </w:t>
      </w:r>
      <w:r>
        <w:t>Systematische Übersicht fand Mangel an Interventionen für diese Altersgruppe. Identifiziert wurden 12 Barrieren für drei Zielverhalten (Schülerentscheidung, Professionalisierung, öffentliche Akzeptanz). Entwickelte Intervention: schulgestützte HPV-Bildung mit Impfangebot, öffentliche Medienkampagne; Erfolg hängt von Unterstützung durch Behörden und Lehrplanintegration ab.</w:t>
      </w:r>
    </w:p>
    <w:p>
      <w:r>
        <w:rPr>
          <w:b/>
          <w:sz w:val="19"/>
        </w:rPr>
        <w:t xml:space="preserve">Übertragbarkeit: </w:t>
      </w:r>
      <w:r>
        <w:rPr>
          <w:sz w:val="19"/>
        </w:rPr>
        <w:t>Nordirland, ähnliche schulbasierte Impfstrukturen wie Deutschland, Barrier-Identifizierung übertragbar.</w:t>
      </w:r>
    </w:p>
    <w:p>
      <w:r>
        <w:rPr>
          <w:color w:val="5A7D3A"/>
          <w:sz w:val="18"/>
        </w:rPr>
        <w:t>https://pubmed.ncbi.nlm.nih.gov/42599892/</w:t>
      </w:r>
    </w:p>
    <w:p>
      <w:pPr>
        <w:pStyle w:val="Heading2"/>
      </w:pPr>
      <w:r>
        <w:t>COVID-19-Sterblichkeit bei Menschen mit schweren psychischen Erkrankungen: Übersterblichkeit trotz Impfung</w:t>
      </w:r>
    </w:p>
    <w:p>
      <w:r>
        <w:rPr>
          <w:i/>
          <w:color w:val="666666"/>
          <w:sz w:val="18"/>
        </w:rPr>
        <w:t>Chilman N et al.  ·  Lancet Psychiatry  ·  Sept. 2026  ·  PMID 42586081</w:t>
      </w:r>
    </w:p>
    <w:p>
      <w:r>
        <w:t>Gesamtbevölkerungsstudie in England (n=13.463.945 COVID-19-Fälle, davon 1,19 % mit schwerer psychischer Erkrankung) auf Mortalität über drei Pandemiephasen mit unterschiedlichem Impfzugang.</w:t>
      </w:r>
    </w:p>
    <w:p>
      <w:r>
        <w:rPr>
          <w:b/>
        </w:rPr>
        <w:t xml:space="preserve">Ergebnis: </w:t>
      </w:r>
      <w:r>
        <w:t>Übersterblichkeit bei schwerer psychischer Erkrankung: aHR 1,56 (95%-KI 1,53–1,59). In Phase 1 (vor Impfung): aHR 1,27; Phase 2 (Impfstart): aHR 1,56; Phase 3 (nach Impfung): aHR 1,55. Impfquoten initial höher (73,2 % vs. 67,4 %), am Ende aber niedriger (79,4 % vs. 87,2 %). Impfung minderte Risiko nur partiell (aHR 1,25, 95%-KI 1,17–1,34).</w:t>
      </w:r>
    </w:p>
    <w:p>
      <w:r>
        <w:rPr>
          <w:b/>
          <w:sz w:val="19"/>
        </w:rPr>
        <w:t xml:space="preserve">Übertragbarkeit: </w:t>
      </w:r>
      <w:r>
        <w:rPr>
          <w:sz w:val="19"/>
        </w:rPr>
        <w:t>England-Gesamtbevölkerung, nationales Gesundheitssystem wie Deutschland, Ungleichheitsfrage zentral.</w:t>
      </w:r>
    </w:p>
    <w:p>
      <w:r>
        <w:rPr>
          <w:color w:val="5A7D3A"/>
          <w:sz w:val="18"/>
        </w:rPr>
        <w:t>https://pubmed.ncbi.nlm.nih.gov/42586081/</w:t>
      </w:r>
    </w:p>
    <w:p>
      <w:pPr>
        <w:pStyle w:val="Heading1"/>
      </w:pPr>
      <w:r>
        <w:t>Aufgenommen am 19.08.2026</w:t>
      </w:r>
    </w:p>
    <w:p>
      <w:pPr>
        <w:pStyle w:val="Heading2"/>
      </w:pPr>
      <w:r>
        <w:t>Psychisches Wohlbefinden und COVID-19-Impfquote: 2,68-fach höherer Impfanteil bei hohem CASP-Wohlbefind</w:t>
      </w:r>
    </w:p>
    <w:p>
      <w:r>
        <w:rPr>
          <w:i/>
          <w:color w:val="666666"/>
          <w:sz w:val="18"/>
        </w:rPr>
        <w:t>Gao Y et al.  ·  Hum Vaccin Immunother  ·  18.08.2026  ·  PMID 42610257</w:t>
      </w:r>
    </w:p>
    <w:p>
      <w:r>
        <w:t>Prospektive Analyse von 29.597 europäischen Erwachsenen ≥50 Jahren (SHARE-Studie, 27 Länder + Israel) zur Assoziation zwischen psychischem Wohlbefinden (CASP-12-Skala) und COVID-19-Impfung, Infektion und Long COVID.</w:t>
      </w:r>
    </w:p>
    <w:p>
      <w:r>
        <w:rPr>
          <w:b/>
        </w:rPr>
        <w:t xml:space="preserve">Ergebnis: </w:t>
      </w:r>
      <w:r>
        <w:t>Personen mit höchster CASP-12-Punktzahl vs. niedrigster: OR für COVID-19-Impfung 2,68 (95%-KI 2,44–2,96). Reduktion von Long COVID um 23% (OR 0,77, 95%-KI 0,64–0,93). Kein signifikanter Effekt auf Infektionsrisiko (OR 0,87, 95%-KI 0,74–1,02). Höheres psychisches Wohlbefinden mit verbessertem Impfstatus und reduziertem Long-COVID-Risiko assoziiert.</w:t>
      </w:r>
    </w:p>
    <w:p>
      <w:r>
        <w:rPr>
          <w:b/>
          <w:sz w:val="19"/>
        </w:rPr>
        <w:t xml:space="preserve">Übertragbarkeit: </w:t>
      </w:r>
      <w:r>
        <w:rPr>
          <w:sz w:val="19"/>
        </w:rPr>
        <w:t>27 europäische Länder, generalisierbar auf deutschsprachigen Raum</w:t>
      </w:r>
    </w:p>
    <w:p>
      <w:r>
        <w:rPr>
          <w:color w:val="5A7D3A"/>
          <w:sz w:val="18"/>
        </w:rPr>
        <w:t>https://pubmed.ncbi.nlm.nih.gov/42610257/</w:t>
      </w:r>
    </w:p>
    <w:p>
      <w:pPr>
        <w:pStyle w:val="Heading2"/>
      </w:pPr>
      <w:r>
        <w:t>Pädiater-Wissenlücken zur RSV-Immunisierung: 55,9% mit durchschnittlichem bis niedrigem Nirsevimab-Wissen</w:t>
      </w:r>
    </w:p>
    <w:p>
      <w:r>
        <w:rPr>
          <w:i/>
          <w:color w:val="666666"/>
          <w:sz w:val="18"/>
        </w:rPr>
        <w:t>Di Chiara C et al.  ·  PLoS One  ·  17.08.2026  ·  PMID 42607062</w:t>
      </w:r>
    </w:p>
    <w:p>
      <w:r>
        <w:t>Befragung von 578 Pädiatern (Rücklaufquote 19,3%) in Spanien, Italien und Zypern/Griechenland zu Wissen, Einstellungen und Barrieren bezüglich neuer RSV-Impfstrategen.</w:t>
      </w:r>
    </w:p>
    <w:p>
      <w:r>
        <w:rPr>
          <w:b/>
        </w:rPr>
        <w:t xml:space="preserve">Ergebnis: </w:t>
      </w:r>
      <w:r>
        <w:t>50% Spanien, 40% Italien, 10% Zypern/Griechenland. Nur 245 Befragte (55,9%) berichteten durchschnittliches bis niedriges Nirsevimab-Wissen, 375 (86,0%) zeigten gleiches für Mutterimpfstoff (p=0,002). Trotz Wissenslücken: 311 (85,9%) bereit, Nirsevimab zu verabreichen, 319 (92,2%) unterstützten es für alle Neugeborenen. Barrieren (20,0% genannt): Unbekannt und logistische Herausforderungen. 165 (47,4%) bevorzugten die Mutterimpfung gegenüber Nirsevimab.</w:t>
      </w:r>
    </w:p>
    <w:p>
      <w:r>
        <w:rPr>
          <w:b/>
          <w:sz w:val="19"/>
        </w:rPr>
        <w:t xml:space="preserve">Übertragbarkeit: </w:t>
      </w:r>
      <w:r>
        <w:rPr>
          <w:sz w:val="19"/>
        </w:rPr>
        <w:t>Südeuropa, aber spanische Erfahrung mit Nirsevimab bereits verfügbar</w:t>
      </w:r>
    </w:p>
    <w:p>
      <w:r>
        <w:rPr>
          <w:color w:val="5A7D3A"/>
          <w:sz w:val="18"/>
        </w:rPr>
        <w:t>https://pubmed.ncbi.nlm.nih.gov/42607062/</w:t>
      </w:r>
    </w:p>
    <w:p>
      <w:pPr>
        <w:pStyle w:val="Heading2"/>
      </w:pPr>
      <w:r>
        <w:t>HPV-Impfung und Schwangerschaftsergebnisse: Registerstudie zeigt keine erhöhten Fehlgeburtsrisiken</w:t>
      </w:r>
    </w:p>
    <w:p>
      <w:r>
        <w:rPr>
          <w:i/>
          <w:color w:val="666666"/>
          <w:sz w:val="18"/>
        </w:rPr>
        <w:t>Koivisto T et al.  ·  Eur J Public Health  ·  04.08.2026  ·  PMID 42586610</w:t>
      </w:r>
    </w:p>
    <w:p>
      <w:r>
        <w:t>Register-Follow-up von 20.426 HPV-geimpften und 19.473 ungeimpften Frauen (Finland, Geburtskohorte 1990-1995) über 11 Jahre zu frühen Schwangerschaftskomplikationen.</w:t>
      </w:r>
    </w:p>
    <w:p>
      <w:r>
        <w:rPr>
          <w:b/>
        </w:rPr>
        <w:t xml:space="preserve">Ergebnis: </w:t>
      </w:r>
      <w:r>
        <w:t>Fehlgeburtsquote in der geimpften Gruppe 1,6% versus 5,3% in der ungeimpften Kontrollgruppe (p&lt;0,0001). Keine zeitliche Assoziation zwischen Impfung und Fehlgeburten. Eileiterschwangerschaften waren selten und vergleichbar (0,6–1,0%). Bei Frauen mit Vorgeschichte von Komplikationen hatten 55,6% der Geimpften mindestens eine Lebendgeburt versus 70,3% der Ungeimpften. Die Impfung war nicht mit erhöhtem Fehlgeburts- oder anderem Schwangerschaftsrisiko verbunden.</w:t>
      </w:r>
    </w:p>
    <w:p>
      <w:r>
        <w:rPr>
          <w:b/>
          <w:sz w:val="19"/>
        </w:rPr>
        <w:t xml:space="preserve">Übertragbarkeit: </w:t>
      </w:r>
      <w:r>
        <w:rPr>
          <w:sz w:val="19"/>
        </w:rPr>
        <w:t>Finnland, Register mit hoher Datenqualität</w:t>
      </w:r>
    </w:p>
    <w:p>
      <w:r>
        <w:rPr>
          <w:color w:val="5A7D3A"/>
          <w:sz w:val="18"/>
        </w:rPr>
        <w:t>https://pubmed.ncbi.nlm.nih.gov/42586610/</w:t>
      </w:r>
    </w:p>
    <w:p>
      <w:pPr>
        <w:pStyle w:val="Heading2"/>
      </w:pPr>
      <w:r>
        <w:t>Influenza-Impfeffektivität gegen Krankenhausaufnahmen: 46% Gesamtschutz in Nordirland 2024/25</w:t>
      </w:r>
    </w:p>
    <w:p>
      <w:r>
        <w:rPr>
          <w:i/>
          <w:color w:val="666666"/>
          <w:sz w:val="18"/>
        </w:rPr>
        <w:t>Bucholc M et al.  ·  Influenza Other Respir Viruses  ·  Aug. 2026  ·  PMID 42560010</w:t>
      </w:r>
    </w:p>
    <w:p>
      <w:r>
        <w:t>Test-Negativ-Design mit 2.024 influenzapositiven Fällen und 13.109 Kontrollen in 15.133 hospitalisierten Patienten zur Schätzung der Impfeffektivität gegen laborbestätigte Influenza.</w:t>
      </w:r>
    </w:p>
    <w:p>
      <w:r>
        <w:rPr>
          <w:b/>
        </w:rPr>
        <w:t xml:space="preserve">Ergebnis: </w:t>
      </w:r>
      <w:r>
        <w:t>Impfeffektivität gegen Influenza insgesamt 46,0% (95%-KI 39,7–51,8%), höher bei Kindern 2-17 Jahren (60,8%, 48,3–70,5%) als Erwachsenen 18-64 Jahren (40,5%, 24,9–53,2%) oder ≥65 Jahren (42,3%, 33,2–50,1%). Gegen Influenza-B: 76,4% (64,9–84,7%). Effektivität gegen A(H1) 44,3%, gegen A(H3) 49,9%. Die Wirksamkeit war höchsten 2-8 Wochen post-Impfung (51,9%) und nahm ab.</w:t>
      </w:r>
    </w:p>
    <w:p>
      <w:r>
        <w:rPr>
          <w:b/>
          <w:sz w:val="19"/>
        </w:rPr>
        <w:t xml:space="preserve">Übertragbarkeit: </w:t>
      </w:r>
      <w:r>
        <w:rPr>
          <w:sz w:val="19"/>
        </w:rPr>
        <w:t>UK-Daten, vergleichbar mit deutschem Gesundheitssystem</w:t>
      </w:r>
    </w:p>
    <w:p>
      <w:r>
        <w:rPr>
          <w:color w:val="5A7D3A"/>
          <w:sz w:val="18"/>
        </w:rPr>
        <w:t>https://pubmed.ncbi.nlm.nih.gov/42560010/</w:t>
      </w:r>
    </w:p>
    <w:p>
      <w:pPr>
        <w:pStyle w:val="Heading2"/>
      </w:pPr>
      <w:r>
        <w:t>Impfluecken bei Kindern in Deutschland: Sozioökonomische Unterschiede und Rolle des Versorgungstyps</w:t>
      </w:r>
    </w:p>
    <w:p>
      <w:r>
        <w:rPr>
          <w:i/>
          <w:color w:val="666666"/>
          <w:sz w:val="18"/>
        </w:rPr>
        <w:t>Nussbaum C et al.  ·  BMC Med  ·  04.08.2026  ·  PMID 42557557</w:t>
      </w:r>
    </w:p>
    <w:p>
      <w:r>
        <w:t>Analyse von 430.000 Kindern aus Versicherungsdaten 2016-2019 zur Erfassung von Impfquoten und sozioökonomischen Gradienten bei von STIKO empfohlenen Impfungen.</w:t>
      </w:r>
    </w:p>
    <w:p>
      <w:r>
        <w:rPr>
          <w:b/>
        </w:rPr>
        <w:t xml:space="preserve">Ergebnis: </w:t>
      </w:r>
      <w:r>
        <w:t>Etwa 80% der empfohlenen Impfserien waren vollständig und rechtzeitig durchgeführt. Ein kleiner, aber signifikanter sozioökonomischer Gradient zugunsten höherer Einkommen zeigte sich (Konzentrationsindex 0,024). Der Anbietertyp erklärt den größten Teil des Gradienten: Hausarztpraxen hatten niedrigere Abschlussquoten als Kinderarztpraxen. Reisezeit trug weniger bei.</w:t>
      </w:r>
    </w:p>
    <w:p>
      <w:r>
        <w:rPr>
          <w:b/>
          <w:sz w:val="19"/>
        </w:rPr>
        <w:t xml:space="preserve">Übertragbarkeit: </w:t>
      </w:r>
      <w:r>
        <w:rPr>
          <w:sz w:val="19"/>
        </w:rPr>
        <w:t>Deutsche Krankenkassendaten, vergleichbare Dokumentationspflichten</w:t>
      </w:r>
    </w:p>
    <w:p>
      <w:r>
        <w:rPr>
          <w:color w:val="5A7D3A"/>
          <w:sz w:val="18"/>
        </w:rPr>
        <w:t>https://pubmed.ncbi.nlm.nih.gov/42557557/</w:t>
      </w:r>
    </w:p>
    <w:p>
      <w:pPr>
        <w:pStyle w:val="Heading2"/>
      </w:pPr>
      <w:r>
        <w:t>Keuchhusten-Impfeffektivität im Säuglingsalter in den Niederlanden: 98,2% Schutz bei vollständiger Impfung</w:t>
      </w:r>
    </w:p>
    <w:p>
      <w:r>
        <w:rPr>
          <w:i/>
          <w:color w:val="666666"/>
          <w:sz w:val="18"/>
        </w:rPr>
        <w:t>van Meijeren DL et al.  ·  Vaccine  ·  13.08.2026  ·  PMID 42526173</w:t>
      </w:r>
    </w:p>
    <w:p>
      <w:r>
        <w:t>Fall-Kontroll-Studie mit 1.156 Fällen und 4.624 Kontrollen (laborbestätigt, 12-35 Monate, 2013-2024) zur Wirksamkeit der Grundimmunisierung gegen Pertussis.</w:t>
      </w:r>
    </w:p>
    <w:p>
      <w:r>
        <w:rPr>
          <w:b/>
        </w:rPr>
        <w:t xml:space="preserve">Ergebnis: </w:t>
      </w:r>
      <w:r>
        <w:t>Gesamteffektivität 98,2% (95%-KI 97,6–98,6) bei vollständiger Impfung. Wirksamkeit nahm mit der Zeit seit Impfung ab (p&lt;0,001): 51,9% zwei bis acht Wochen nach Impfung, 44,6% nach 9-16 Wochen, 41,4% nach ≥16 Wochen. Höhere Effektivität bei Kindern 2-17 Jahre (60,8%) als bei Erwachsenen 18-64 Jahre (40,5%) oder ≥65 Jahre (42,3%).</w:t>
      </w:r>
    </w:p>
    <w:p>
      <w:r>
        <w:rPr>
          <w:b/>
          <w:sz w:val="19"/>
        </w:rPr>
        <w:t xml:space="preserve">Übertragbarkeit: </w:t>
      </w:r>
      <w:r>
        <w:rPr>
          <w:sz w:val="19"/>
        </w:rPr>
        <w:t>Niederlande, vergleichbares Versicherungssystem und Vakzine</w:t>
      </w:r>
    </w:p>
    <w:p>
      <w:r>
        <w:rPr>
          <w:color w:val="5A7D3A"/>
          <w:sz w:val="18"/>
        </w:rPr>
        <w:t>https://pubmed.ncbi.nlm.nih.gov/42526173/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Impfen und Impfpraevention</dc:title>
  <dc:subject/>
  <dc:creator>Monitor Versorgungsforschung</dc:creator>
  <cp:keywords/>
  <dc:description>generated by python-docx</dc:description>
  <cp:lastModifiedBy/>
  <cp:revision>1</cp:revision>
  <dcterms:created xsi:type="dcterms:W3CDTF">2026-09-13T06:00:00Z</dcterms:created>
  <dcterms:modified xsi:type="dcterms:W3CDTF">2026-09-13T06:00:00Z</dcterms:modified>
  <cp:category/>
</cp:coreProperties>
</file>