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16.09.2026  |  6 Studien  |  impfen.m-vf.de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Digitale Assistenten für HPV-Impfung und Gebärmutterhalskrebs-Screening – was funktioniert?</w:t>
      </w:r>
    </w:p>
    <w:p>
      <w:r>
        <w:rPr>
          <w:i/>
          <w:color w:val="666666"/>
          <w:sz w:val="18"/>
        </w:rPr>
        <w:t>Umbetzhanova A et al.  ·  Front Public Health  ·  31.08.2026  ·  PMID 42741336</w:t>
      </w:r>
    </w:p>
    <w:p>
      <w:r>
        <w:t>Systematische Übersicht von 14 Studien (2016–2026) zur Frage, ob interaktive digitale Tools (Chatbots, Apps, Serious Games) HPV-Impfung und Gebärmutterhals-Screening erhöhen.</w:t>
      </w:r>
    </w:p>
    <w:p>
      <w:r>
        <w:rPr>
          <w:b/>
        </w:rPr>
        <w:t xml:space="preserve">Ergebnis: </w:t>
      </w:r>
      <w:r>
        <w:t>Chatbots zeigten vielversprechende Kurzzeit-Effekte auf Termin-Buchung (moderate Evidenz), aber hohe Abbruch-Quoten bei Mehrfach-Dosen. Theorie-basierte Apps erhöhten Zytologie-Inanspruchnahme kurzfristig (moderate Evidenz). Ein Serious Game korrelierte mit höheren CIN2+-Erkennungsraten, aber Confounding war schwerwiegend. Insgesamt: moderate Kurzzeit-Effekte, aber unzureichende Evidenz für Dauer.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Mehrländer-Übersicht, digitale Hürden international ähnlich</w:t>
      </w:r>
    </w:p>
    <w:p>
      <w:r>
        <w:rPr>
          <w:color w:val="5A7D3A"/>
          <w:sz w:val="18"/>
        </w:rPr>
        <w:t>https://pubmed.ncbi.nlm.nih.gov/42741336/</w:t>
      </w:r>
    </w:p>
    <w:p>
      <w:pPr>
        <w:pStyle w:val="Heading2"/>
      </w:pPr>
      <w:r>
        <w:t>Impfen in Schulen: Was Schulkrankenpfleger in Colorado als Barrieren berichten</w:t>
      </w:r>
    </w:p>
    <w:p>
      <w:r>
        <w:rPr>
          <w:i/>
          <w:color w:val="666666"/>
          <w:sz w:val="18"/>
        </w:rPr>
        <w:t>Nienstedt L et al.  ·  J Sch Health  ·  Okt. 2026  ·  PMID 42740714</w:t>
      </w:r>
    </w:p>
    <w:p>
      <w:r>
        <w:t>Querschnittsbefragung von 368 Schulkrankenpflegern in Colorado 2024, ob und wie sie schulgebundene Impfaktionen (SAVEs) umsetzten.</w:t>
      </w:r>
    </w:p>
    <w:p>
      <w:r>
        <w:rPr>
          <w:b/>
        </w:rPr>
        <w:t xml:space="preserve">Ergebnis: </w:t>
      </w:r>
      <w:r>
        <w:t>Schulen ohne SAVEs nannten Mangel an Leitlinien (Top-3-Barriere), fehlende Personalzeit und mangelnde externe Partnerschaften als Haupthindernisse. In ländlichen Schulen rangierte Impf-Politisierung unter Top-Barrieren; in Schulen mit niedrigem Einkommen und Gymnasien war Zeitdruck dominant. Schulen mit SAVEs betont externe Partnerschaften und elterliches Vertrauen als Erfolsfaktoren.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nur Zugangswegs-Hürden übertragbar, nicht System</w:t>
      </w:r>
    </w:p>
    <w:p>
      <w:r>
        <w:rPr>
          <w:color w:val="5A7D3A"/>
          <w:sz w:val="18"/>
        </w:rPr>
        <w:t>https://pubmed.ncbi.nlm.nih.gov/42740714/</w:t>
      </w:r>
    </w:p>
    <w:p>
      <w:pPr>
        <w:pStyle w:val="Heading2"/>
      </w:pPr>
      <w:r>
        <w:t>Grippeschutz bei Älteren: Bildung und Umgebung beeinflussen Impfquote</w:t>
      </w:r>
    </w:p>
    <w:p>
      <w:r>
        <w:rPr>
          <w:i/>
          <w:color w:val="666666"/>
          <w:sz w:val="18"/>
        </w:rPr>
        <w:t>Zhang C et al.  ·  Zhonghua Yu Fang Yi Xue Za Zhi  ·  06.09.2026  ·  PMID 42736149</w:t>
      </w:r>
    </w:p>
    <w:p>
      <w:r>
        <w:t>Befragung von 700 Personen ≥60 Jahren in Shaanxi (China) 2025 zu Einflussfaktoren auf Grippeimpfung.</w:t>
      </w:r>
    </w:p>
    <w:p>
      <w:r>
        <w:rPr>
          <w:b/>
        </w:rPr>
        <w:t xml:space="preserve">Ergebnis: </w:t>
      </w:r>
      <w:r>
        <w:t>49,7% geimpft, 50,3% ungeimpft. Schutzfaktoren: Hochschulbildung (OR 2,77), Stadtwohnung (OR 1,94), hohes Infektionsrisiko-Bewusstsein (OR 4,89), Glaube an Impfnutzen (OR 10,96), Familie/Freunde mit Impfgeschichte (OR 5,07). Bildung und soziales Umfeld sind stärkste Prädiktoren – nicht Zugang allein.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Befund zu Risiko-Wahrnehmung und Vertrauen transnational relevant</w:t>
      </w:r>
    </w:p>
    <w:p>
      <w:r>
        <w:rPr>
          <w:color w:val="5A7D3A"/>
          <w:sz w:val="18"/>
        </w:rPr>
        <w:t>https://pubmed.ncbi.nlm.nih.gov/42736149/</w:t>
      </w:r>
    </w:p>
    <w:p>
      <w:pPr>
        <w:pStyle w:val="Heading2"/>
      </w:pPr>
      <w:r>
        <w:t>RSV-Impfung in der Schwangerschaft und Frühgeburtsrisiko: Metaanalyse</w:t>
      </w:r>
    </w:p>
    <w:p>
      <w:r>
        <w:rPr>
          <w:i/>
          <w:color w:val="666666"/>
          <w:sz w:val="18"/>
        </w:rPr>
        <w:t>Leskinen N et al.  ·  Immun Inflamm Dis  ·  Sept. 2026  ·  PMID 42712161</w:t>
      </w:r>
    </w:p>
    <w:p>
      <w:r>
        <w:t>Metaanalyse von 7 Studien (3 RCTs, 4 Beobachtungsstudien; insgesamt ~17.000 Geburten) zur Frage, ob mütterliche RSV-PreF-Impfung Frühgeburten oder NICU-Aufnahmen erhöht.</w:t>
      </w:r>
    </w:p>
    <w:p>
      <w:r>
        <w:rPr>
          <w:b/>
        </w:rPr>
        <w:t xml:space="preserve">Ergebnis: </w:t>
      </w:r>
      <w:r>
        <w:t>RCTs zeigten erhöhtes Frühgeburtsrisiko (RR 1,26, 95%-KI 1,08–1,46); Beobachtungsstudien nicht (RR 0,78, 95%-KI 0,46–1,32). Gepoolte Analyse: kein Gesamteffekt (RR 0,96, 95%-KI 0,68–1,38). NICU-Aufnahme nicht erhöht (RR 0,74). Evidenzsicherheit niedrig bis sehr niedrig; Überwachung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Mehrländer-Studie, übertragbar auf europaähnliche Settings</w:t>
      </w:r>
    </w:p>
    <w:p>
      <w:r>
        <w:rPr>
          <w:color w:val="5A7D3A"/>
          <w:sz w:val="18"/>
        </w:rPr>
        <w:t>https://pubmed.ncbi.nlm.nih.gov/42712161/</w:t>
      </w:r>
    </w:p>
    <w:p>
      <w:pPr>
        <w:pStyle w:val="Heading2"/>
      </w:pPr>
      <w:r>
        <w:t>Auffrischimpfung gegen JN.1-Variante aktiviert neue B-Zell-Subpopulationen</w:t>
      </w:r>
    </w:p>
    <w:p>
      <w:r>
        <w:rPr>
          <w:i/>
          <w:color w:val="666666"/>
          <w:sz w:val="18"/>
        </w:rPr>
        <w:t>Stankov MV et al.  ·  Nat Commun  ·  24.07.2026  ·  PMID 42498786</w:t>
      </w:r>
    </w:p>
    <w:p>
      <w:r>
        <w:t>Deutsche Längsschnittstudie (n=42, überwiegend mehrfach Geimpfte und Infizierte) untersuchte, wie JN.1-adaptierte mRNA-Booster die Antikörper- und B-Zell-Antwort verändern.</w:t>
      </w:r>
    </w:p>
    <w:p>
      <w:r>
        <w:rPr>
          <w:b/>
        </w:rPr>
        <w:t xml:space="preserve">Ergebnis: </w:t>
      </w:r>
      <w:r>
        <w:t>IgG-Bindung und Neutralisierungstiter gegen JN.1 stiegen; Antigen-spezifische Memory-B-Zellen zeigten durch Mutationen (somatic hypermutation) verbesserte JN.1-Bindung, ohne dass neue naive B-Zellen massiv rekrutiert wurden. Effekt: Reifung vorbestehender Memory-B-Zellen statt Neuausrichtung.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Impfstrategie und Dokumentation</w:t>
      </w:r>
    </w:p>
    <w:p>
      <w:r>
        <w:rPr>
          <w:color w:val="5A7D3A"/>
          <w:sz w:val="18"/>
        </w:rPr>
        <w:t>https://pubmed.ncbi.nlm.nih.gov/42498786/</w:t>
      </w:r>
    </w:p>
    <w:p>
      <w:pPr>
        <w:pStyle w:val="Heading2"/>
      </w:pPr>
      <w:r>
        <w:t>CAR-T-Therapien in Europa: Axicabtagene vs. Tisagenlecleucel bei großzelligem Lymphom</w:t>
      </w:r>
    </w:p>
    <w:p>
      <w:r>
        <w:rPr>
          <w:i/>
          <w:color w:val="666666"/>
          <w:sz w:val="18"/>
        </w:rPr>
        <w:t>Li H et al.  ·  PeerJ  ·  06.07.2026  ·  PMID 42428526</w:t>
      </w:r>
    </w:p>
    <w:p>
      <w:r>
        <w:t>Systematische Übersicht von 8 europäischen Kohortenstudien mit 2.178 Patienten verglich Wirksamkeit und Toxizität zweier CAR-T-Produkte gegen diffuses großzelliges B-Zell-Lymphom.</w:t>
      </w:r>
    </w:p>
    <w:p>
      <w:r>
        <w:rPr>
          <w:b/>
        </w:rPr>
        <w:t xml:space="preserve">Ergebnis: </w:t>
      </w:r>
      <w:r>
        <w:t>Axicabtagene zeigte höhere 3-Monats-Ansprechquoten (signifikant, p nicht genannt), aber niedrigere 12-Monats-progressionsfreie Überlebensraten; höhere Raten für Zytokinfreibsetzungssyndrom und neurotoxisches Syndrom (ICANS) alle Grade sowie Grade ≥3 ICANS, häufigere Tocilizumab-Gabe. Unter europäischen Alltagsbedingungen zeigt sich ein Wirksamkeits-Toxizitäts-Trade-off.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- acht Kohorten, vergleichbares Versicherungssystem</w:t>
      </w:r>
    </w:p>
    <w:p>
      <w:r>
        <w:rPr>
          <w:color w:val="5A7D3A"/>
          <w:sz w:val="18"/>
        </w:rPr>
        <w:t>https://pubmed.ncbi.nlm.nih.gov/42428526/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