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26.09.2026  |  6 Studien  |  impfen.m-vf.de</w:t>
      </w:r>
    </w:p>
    <w:p>
      <w:pPr>
        <w:pStyle w:val="Heading1"/>
      </w:pPr>
      <w:r>
        <w:t>Aufgenommen am 26.09.2026</w:t>
      </w:r>
    </w:p>
    <w:p>
      <w:pPr>
        <w:pStyle w:val="Heading2"/>
      </w:pPr>
      <w:r>
        <w:t>Tollwutimpfung bei Kindern in Thailand: Prävention mit Kosten-Nutzen-Vorteilen</w:t>
      </w:r>
    </w:p>
    <w:p>
      <w:r>
        <w:rPr>
          <w:i/>
          <w:color w:val="666666"/>
          <w:sz w:val="18"/>
        </w:rPr>
        <w:t>Soopairin S et al.  ·  BMJ Glob Health  ·  25.09.2026  ·  PMID 42791044</w:t>
      </w:r>
    </w:p>
    <w:p>
      <w:r>
        <w:t>Entscheidungsmodell-Analyse zum Kosten-Nutzen-Verhältnis einer Tollwut-Präexpositionsprophylaxe (PrEP) plus Postexpositionsprophylaxe (PEP) versus PEP allein bei 5-Jährigen in Thailand.</w:t>
      </w:r>
    </w:p>
    <w:p>
      <w:r>
        <w:rPr>
          <w:b/>
        </w:rPr>
        <w:t xml:space="preserve">Ergebnis: </w:t>
      </w:r>
      <w:r>
        <w:t>PrEP+PEP intrakutan mit inaktiviertem Hühnerzellvakzin war kosteneffektiv mit 40.977 THB (~1.161 USD) pro qualitätsbereinigtem Lebensjahr vs. PEP allein. Jährliche Bissinzidenz war einflussreichster Parameter; Kosten-Effektivität bleib robust über weitere Parameter.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Thailand, außereuropäisches System; Kosten-Nutzen-Befund ist methodisch übertragbar für Priorisierung in Impfprogrammen.</w:t>
      </w:r>
    </w:p>
    <w:p>
      <w:r>
        <w:rPr>
          <w:color w:val="5A7D3A"/>
          <w:sz w:val="18"/>
        </w:rPr>
        <w:t>https://pubmed.ncbi.nlm.nih.gov/42791044/</w:t>
      </w:r>
    </w:p>
    <w:p>
      <w:pPr>
        <w:pStyle w:val="Heading2"/>
      </w:pPr>
      <w:r>
        <w:t>Influenza-Impfquoten in der Praxis: Defizite bei hochwertigen Impfstoffen</w:t>
      </w:r>
    </w:p>
    <w:p>
      <w:r>
        <w:rPr>
          <w:i/>
          <w:color w:val="666666"/>
          <w:sz w:val="18"/>
        </w:rPr>
        <w:t>Amicizia D et al.  ·  Hum Vaccin Immunother  ·  25.09.2026  ·  PMID 42788870</w:t>
      </w:r>
    </w:p>
    <w:p>
      <w:r>
        <w:t>Italienische Studie zur Influenzaimpfung ≥60-Jähriger in zwei Saisons (2023/24 und 2024/25), die den Wechsel zu dezentraler Versorgung durch Apotheken und Hausärzte untersucht.</w:t>
      </w:r>
    </w:p>
    <w:p>
      <w:r>
        <w:rPr>
          <w:b/>
        </w:rPr>
        <w:t xml:space="preserve">Ergebnis: </w:t>
      </w:r>
      <w:r>
        <w:t>Gesamtquote sank um 6% zwischen den Saisons; nur 65% (2023/24) bzw. 73% (2024/25) der ≥65-Jährigen erhielten altersgerechte hochdosierte Impfstoffe. Dezentrale Versorgung steigerte zwar Erreichbarkeit, führte aber zu erheblicher Varianz bei der Impfstoffwahl und suboptimalen Plattformen bei Hochrisikogruppen.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Gesundheitssystem; zeigt Hürden bei Umsetzung von Leitlinien in dezentraler Versorgung.</w:t>
      </w:r>
    </w:p>
    <w:p>
      <w:r>
        <w:rPr>
          <w:color w:val="5A7D3A"/>
          <w:sz w:val="18"/>
        </w:rPr>
        <w:t>https://pubmed.ncbi.nlm.nih.gov/42788870/</w:t>
      </w:r>
    </w:p>
    <w:p>
      <w:pPr>
        <w:pStyle w:val="Heading2"/>
      </w:pPr>
      <w:r>
        <w:t>HPV-Impfung und Krebsvorsorge in Brasilien: Pandemie-Folgen bei Ungleichheit</w:t>
      </w:r>
    </w:p>
    <w:p>
      <w:r>
        <w:rPr>
          <w:i/>
          <w:color w:val="666666"/>
          <w:sz w:val="18"/>
        </w:rPr>
        <w:t>Carvalho TS et al.  ·  Rev Inst Med Trop Sao Paulo  ·  18.09.2026  ·  PMID 42788601</w:t>
      </w:r>
    </w:p>
    <w:p>
      <w:r>
        <w:t>Ökologische Studie (2016–2021) zur Auswirkung der COVID-19-Pandemie auf HPV-Impfquoten und Pap-Abstrich-Screening in Sao Paulo State mittels öffentlicher Datenbank.</w:t>
      </w:r>
    </w:p>
    <w:p>
      <w:r>
        <w:rPr>
          <w:b/>
        </w:rPr>
        <w:t xml:space="preserve">Ergebnis: </w:t>
      </w:r>
      <w:r>
        <w:t>HPV-Impfquoten stiegen 2020, hielten aber 2021 nicht an. Pap-Abstriche sanken 2020 und erholten sich 2021 nur teilweise, besonders in Gemeinden mit niedrigen sozioökonomischen Indikatoren. Anzahl der COVID-19-Fälle war nicht stark assoziiert mit Schwankungen in Präventionsdiensten.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öffentliche Gesundheitsverwaltung; zeigt Resilienz-Probleme bei integrierten Präventionsprogrammen unter Krise, besonders bei vulnerablen Bevölkerungen.</w:t>
      </w:r>
    </w:p>
    <w:p>
      <w:r>
        <w:rPr>
          <w:color w:val="5A7D3A"/>
          <w:sz w:val="18"/>
        </w:rPr>
        <w:t>https://pubmed.ncbi.nlm.nih.gov/42788601/</w:t>
      </w:r>
    </w:p>
    <w:p>
      <w:pPr>
        <w:pStyle w:val="Heading2"/>
      </w:pPr>
      <w:r>
        <w:t>Sicherheit von HPV-Impfstoffen in China: Verträglichkeit unter Alltag</w:t>
      </w:r>
    </w:p>
    <w:p>
      <w:r>
        <w:rPr>
          <w:i/>
          <w:color w:val="666666"/>
          <w:sz w:val="18"/>
        </w:rPr>
        <w:t>Xie M et al.  ·  Hum Vaccin Immunother  ·  25.09.2026  ·  PMID 42788243</w:t>
      </w:r>
    </w:p>
    <w:p>
      <w:r>
        <w:t>Postmarketing-Sicherheitsüberwachung von HPV-Impfstoffen in Shandong 2017–2025 mittels Nebenwirkungsmeldungen.</w:t>
      </w:r>
    </w:p>
    <w:p>
      <w:r>
        <w:rPr>
          <w:b/>
        </w:rPr>
        <w:t xml:space="preserve">Ergebnis: </w:t>
      </w:r>
      <w:r>
        <w:t>1.056 Meldungen bei ~13,2 Millionen Dosen (Quote 7,99 pro 100.000 Dosen); 95,46% leichte Reaktionen, 1,42% seltene unerwünschte Ereignisse (u.a. Myalgie, Induration &gt;5 cm, Immunthrombozytopenie). Sicherheitsprofil insgesamt gut.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anderes Meldesystem; bestätigt gutes Sicherheitsprofil auch bei Millionenfach-Anwendung.</w:t>
      </w:r>
    </w:p>
    <w:p>
      <w:r>
        <w:rPr>
          <w:color w:val="5A7D3A"/>
          <w:sz w:val="18"/>
        </w:rPr>
        <w:t>https://pubmed.ncbi.nlm.nih.gov/42788243/</w:t>
      </w:r>
    </w:p>
    <w:p>
      <w:pPr>
        <w:pStyle w:val="Heading2"/>
      </w:pPr>
      <w:r>
        <w:t>Enterovirus-71-Impfung senkt Fallzahlen von Hand-Fuß-Mund-Krankheit</w:t>
      </w:r>
    </w:p>
    <w:p>
      <w:r>
        <w:rPr>
          <w:i/>
          <w:color w:val="666666"/>
          <w:sz w:val="18"/>
        </w:rPr>
        <w:t>Li K et al.  ·  JMIR Public Health Surveill  ·  24.09.2026  ·  PMID 42785728</w:t>
      </w:r>
    </w:p>
    <w:p>
      <w:r>
        <w:t>Überwachungsstudie (2008–2023) in Anhui, China zur Epidemiologie von Hand-Fuß-Mund-Krankheit (HFMD) nach Einführung der EV71-Impfung und während COVID-19-Pandemie.</w:t>
      </w:r>
    </w:p>
    <w:p>
      <w:r>
        <w:rPr>
          <w:b/>
        </w:rPr>
        <w:t xml:space="preserve">Ergebnis: </w:t>
      </w:r>
      <w:r>
        <w:t>Typisierte EV71-Fälle sanken von 45,8% (vor Impfung) auf 3,4% (während COVID-19); Vorhersagemodelle für 2017–2019 zeigten 470 beobachtete vs. 659 vorhergesagte EV71-Fälle 2017 (95%-PI 467–933). Gesamtlast HFMD während COVID-19 substanziell unter Prognose, Todesfälle ab 2020 keine gemeldet.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Überwachungsdaten; zeigt reale Impfeffektivität bei Bevölkerungsergebnissen unter Alltagsbedingungen.</w:t>
      </w:r>
    </w:p>
    <w:p>
      <w:r>
        <w:rPr>
          <w:color w:val="5A7D3A"/>
          <w:sz w:val="18"/>
        </w:rPr>
        <w:t>https://pubmed.ncbi.nlm.nih.gov/42785728/</w:t>
      </w:r>
    </w:p>
    <w:p>
      <w:pPr>
        <w:pStyle w:val="Heading2"/>
      </w:pPr>
      <w:r>
        <w:t>COVID-19-Impfung überwindet HLA-bedingte Unterschiede in Antikörper-Breite</w:t>
      </w:r>
    </w:p>
    <w:p>
      <w:r>
        <w:rPr>
          <w:i/>
          <w:color w:val="666666"/>
          <w:sz w:val="18"/>
        </w:rPr>
        <w:t>Nguyen TTN et al.  ·  Front Immunol  ·  08.09.2026  ·  PMID 42774458</w:t>
      </w:r>
    </w:p>
    <w:p>
      <w:r>
        <w:t>Longitudinale Kohortenstudie an 189 vietnamesischen Erwachsenen vor und nach COVID-19-Impfung, mit HLA-Genotypisierung und Neutralisierungstests gegen Variants of Concern.</w:t>
      </w:r>
    </w:p>
    <w:p>
      <w:r>
        <w:rPr>
          <w:b/>
        </w:rPr>
        <w:t xml:space="preserve">Ergebnis: </w:t>
      </w:r>
      <w:r>
        <w:t>Impfung erhöhte Antikörpertiter gegen Wuhan um 132-fach und gegen Omikron 10-fach; Neutralisierungbreite erweiterte sich substanziell. HLA-Assoziationen bei Zeitpunkt 1 beobachtet, aber Impfung erwies sich als stärkster Faktor für Neutralisierungsbreite bei Monat 15 (p&lt;0,001 in multivariablen Modellen).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Vietnam, Hybridimmunität; zeigt, dass Impfung genetische Heterogenität in Antikörper-Breite überlagert und Population-spezifische Langzeitimmunität aufbaut.</w:t>
      </w:r>
    </w:p>
    <w:p>
      <w:r>
        <w:rPr>
          <w:color w:val="5A7D3A"/>
          <w:sz w:val="18"/>
        </w:rPr>
        <w:t>https://pubmed.ncbi.nlm.nih.gov/42774458/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2026-09-26T06:00:00Z</dcterms:created>
  <dcterms:modified xsi:type="dcterms:W3CDTF">2026-09-26T06:00:00Z</dcterms:modified>
  <cp:category/>
</cp:coreProperties>
</file>