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10.09.2026  |  6 Studien  |  impfen.m-vf.de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RSV-Impfskepsis bei chinesischen Eltern: Informationssuche dominiert, nicht Vertrauen</w:t>
      </w:r>
    </w:p>
    <w:p>
      <w:r>
        <w:rPr>
          <w:i/>
          <w:color w:val="666666"/>
          <w:sz w:val="18"/>
        </w:rPr>
        <w:t>Zhu Y et al.  ·  Hum Vaccin Immunother  ·  31.12.2026  ·  PMID 42714313</w:t>
      </w:r>
    </w:p>
    <w:p>
      <w:r>
        <w:t>Querschnittstudie mit 4.422 Paaren (Schwangere und Partner) in acht chinesischen Provinzen zur Analyse psychologischer Vorstufen der Vaccine Hesitancy gegenüber RSV-Impfstoffen und RSV-Antikörpern.</w:t>
      </w:r>
    </w:p>
    <w:p>
      <w:r>
        <w:rPr>
          <w:b/>
        </w:rPr>
        <w:t xml:space="preserve">Ergebnis: </w:t>
      </w:r>
      <w:r>
        <w:t>Frauen zeigten marginal niedrigere 5C-Werte als Partner für mütterliche Impfung (45,88 vs. 46,25; Cohen's d = −0,06). Älteres Alter, ländlicher Wohnort und niedriges Einkommen waren unabhängig mit höherer Hesitancy assoziiert. 'Calculation' (aktive Informationssuche) scorte bei beiden Gruppen am höchsten.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China-Studie; Psychologische Grundmuster der Vaccine Hesitancy international relevant.</w:t>
      </w:r>
    </w:p>
    <w:p>
      <w:r>
        <w:rPr>
          <w:color w:val="5A7D3A"/>
          <w:sz w:val="18"/>
        </w:rPr>
        <w:t>https://pubmed.ncbi.nlm.nih.gov/42714313/</w:t>
      </w:r>
    </w:p>
    <w:p>
      <w:pPr>
        <w:pStyle w:val="Heading2"/>
      </w:pPr>
      <w:r>
        <w:t>Gesundheitskommunikation gegen Impfskepsis bei Kinderimpfungen in Nigeria – Systematische Übersicht</w:t>
      </w:r>
    </w:p>
    <w:p>
      <w:r>
        <w:rPr>
          <w:i/>
          <w:color w:val="666666"/>
          <w:sz w:val="18"/>
        </w:rPr>
        <w:t>Ike TJ et al.  ·  Front Public Health  ·  25.08.2026  ·  PMID 42713528</w:t>
      </w:r>
    </w:p>
    <w:p>
      <w:r>
        <w:t>Systematische Übersicht mit thematischer Synthese von 12 Studien (2017–2026) zu Kommunikationsstrategien gegen elterliche Vaccine Hesitancy bei Kinderimpfungen in Nigeria.</w:t>
      </w:r>
    </w:p>
    <w:p>
      <w:r>
        <w:rPr>
          <w:b/>
        </w:rPr>
        <w:t xml:space="preserve">Ergebnis: </w:t>
      </w:r>
      <w:r>
        <w:t>Vier Strategietypen identifiziert: Medienkampagnen, staatlich gesponserte Kommunikation, Gemeinde-zentrierte Ansätze und telefonische Interventionen. Kulturelle Anpassung, Einbindung vertrauter Führungspersonen (religiöse/traditionelle Leader), Multi-Kanal-Ansatz und Responsivität auf strukturelle Barrieren und Informationsbedarf waren erfolgskritisch.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niedriges Einkommen; Kommunikationsprinzipien zu Vaccine Hesitancy aber universal relevant.</w:t>
      </w:r>
    </w:p>
    <w:p>
      <w:r>
        <w:rPr>
          <w:color w:val="5A7D3A"/>
          <w:sz w:val="18"/>
        </w:rPr>
        <w:t>https://pubmed.ncbi.nlm.nih.gov/42713528/</w:t>
      </w:r>
    </w:p>
    <w:p>
      <w:pPr>
        <w:pStyle w:val="Heading2"/>
      </w:pPr>
      <w:r>
        <w:t>HPV-Impfquote 70% in Shenzhen: Psychologische Modelle verlieren Erklärungskraft, Kosten bleiben Barriere</w:t>
      </w:r>
    </w:p>
    <w:p>
      <w:r>
        <w:rPr>
          <w:i/>
          <w:color w:val="666666"/>
          <w:sz w:val="18"/>
        </w:rPr>
        <w:t>Liu Y et al.  ·  Front Public Health  ·  25.08.2026  ·  PMID 42712616</w:t>
      </w:r>
    </w:p>
    <w:p>
      <w:r>
        <w:t>Querschnittstudie mit 1.257 Frauen in Shenzhen zur Diskriminanzvalidität von Health Belief Model und 3C-Modell bei Restimpfverweigerung nach bereits 70% HPV-Impfquote.</w:t>
      </w:r>
    </w:p>
    <w:p>
      <w:r>
        <w:rPr>
          <w:b/>
        </w:rPr>
        <w:t xml:space="preserve">Ergebnis: </w:t>
      </w:r>
      <w:r>
        <w:t>Bei 70% Durchimpfung zeigten HBM und 3C-Skalen begrenzte Diskriminanzvalidität zwischen Geimpften und Ungeimpften (nur 2 von 10 Konstrukten signifikant, triviale Effektgrößen d=0,13). Hauptgründe für Nicht-Impfung: hohe Kosten (42,3%) und Sicherheitsbedenken (33,8%). Hukou moderierte wahrgenommene Barrieren suggestiv (nicht signifikant).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hochquoten-Setting; zeigt, dass psychologische Standardmodelle bei Hochquoten an Grenzen stoßen.</w:t>
      </w:r>
    </w:p>
    <w:p>
      <w:r>
        <w:rPr>
          <w:color w:val="5A7D3A"/>
          <w:sz w:val="18"/>
        </w:rPr>
        <w:t>https://pubmed.ncbi.nlm.nih.gov/42712616/</w:t>
      </w:r>
    </w:p>
    <w:p>
      <w:pPr>
        <w:pStyle w:val="Heading2"/>
      </w:pPr>
      <w:r>
        <w:t>EV-A71-Impfung reduzierte Hand-Fuß-Mund-Krankheit um 57% in Shanghai – Shift zu anderen Serotypen beobachtet</w:t>
      </w:r>
    </w:p>
    <w:p>
      <w:r>
        <w:rPr>
          <w:i/>
          <w:color w:val="666666"/>
          <w:sz w:val="18"/>
        </w:rPr>
        <w:t>Deng L et al.  ·  Front Public Health  ·  12.08.2026  ·  PMID 42656515</w:t>
      </w:r>
    </w:p>
    <w:p>
      <w:r>
        <w:t>Analyse epidemiologischer Veränderungen der Hand-Fuß-Mund-Krankheit (HFMD) über 15 Jahre in Minhang-Bezirk Shanghai mit Schätzung der Impfeffektivität nach Test-Negative-Design.</w:t>
      </w:r>
    </w:p>
    <w:p>
      <w:r>
        <w:rPr>
          <w:b/>
        </w:rPr>
        <w:t xml:space="preserve">Ergebnis: </w:t>
      </w:r>
      <w:r>
        <w:t>Nach Einführung der EV-A71-Impfung (2016) sanken Inzidenz um 56,7%, Schweregrad um 95,2%, Sterblichkeit um 100%. Gesamtimpfeffektivität gegen EV-A71-assoziierte HFMD: 89,9% (95%-KI 74,5–96,0) für Zwei-Dosen-Serie; Durchimpfungsquote 50%. Keine Kreuzprotektion gegen andere Serotypen.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System unterscheidet sich; Effektivitätsmessung an Bevölkerungsdaten aber global vergleichbar.</w:t>
      </w:r>
    </w:p>
    <w:p>
      <w:r>
        <w:rPr>
          <w:color w:val="5A7D3A"/>
          <w:sz w:val="18"/>
        </w:rPr>
        <w:t>https://pubmed.ncbi.nlm.nih.gov/42656515/</w:t>
      </w:r>
    </w:p>
    <w:p>
      <w:pPr>
        <w:pStyle w:val="Heading2"/>
      </w:pPr>
      <w:r>
        <w:t>COVID-19-Impfung in Irland: Barrieren und Förderfaktoren im Implementierungsprozess</w:t>
      </w:r>
    </w:p>
    <w:p>
      <w:r>
        <w:rPr>
          <w:i/>
          <w:color w:val="666666"/>
          <w:sz w:val="18"/>
        </w:rPr>
        <w:t>Kandulu CC et al.  ·  Vaccine  ·  30.08.2026  ·  PMID 42407300</w:t>
      </w:r>
    </w:p>
    <w:p>
      <w:r>
        <w:t>Qualitative Studie mit 16 Stakeholdern zur Identifikation von Faktoren, die die Umsetzung des COVID-19-Impfprogramms in Irland auf nationaler, regionaler und lokaler Ebene beeinflussten.</w:t>
      </w:r>
    </w:p>
    <w:p>
      <w:r>
        <w:rPr>
          <w:b/>
        </w:rPr>
        <w:t xml:space="preserve">Ergebnis: </w:t>
      </w:r>
      <w:r>
        <w:t>Verzögerte oder sich ändernde Evidenz, Komplexität der Impfstoffe und Anpassung der Bereitstellungskonzepte (Skalierung auf Massenimpfzentren) waren kritische Faktoren. Ressourcenverfügbarkeit, organisatorische Infrastruktur, Policy-Rahmen, Kommunikation und Fachkompetenz waren entscheidend für die 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vergleichbares europäisches Gesundheitssystem mit dezentraler Struktur.</w:t>
      </w:r>
    </w:p>
    <w:p>
      <w:r>
        <w:rPr>
          <w:color w:val="5A7D3A"/>
          <w:sz w:val="18"/>
        </w:rPr>
        <w:t>https://pubmed.ncbi.nlm.nih.gov/42407300/</w:t>
      </w:r>
    </w:p>
    <w:p>
      <w:pPr>
        <w:pStyle w:val="Heading2"/>
      </w:pPr>
      <w:r>
        <w:t>SARS-CoV-2-Auffrischimpfungen schützen Menschen mit Autoimmunerkrankungen vor schwerer COVID-19</w:t>
      </w:r>
    </w:p>
    <w:p>
      <w:r>
        <w:rPr>
          <w:i/>
          <w:color w:val="666666"/>
          <w:sz w:val="18"/>
        </w:rPr>
        <w:t>Kukreja NS et al.  ·  RMD Open  ·  03.07.2026  ·  PMID 42399080</w:t>
      </w:r>
    </w:p>
    <w:p>
      <w:r>
        <w:t>Nested Case-Control-Studie mit englischen Primärversorgungs- und Krankenhausdaten zu Schutzwirkung von COVID-19-Auffrischimpfungen bei erwachsenen Patienten mit immunmediierter Entzündungserkrankung (IMID).</w:t>
      </w:r>
    </w:p>
    <w:p>
      <w:r>
        <w:rPr>
          <w:b/>
        </w:rPr>
        <w:t xml:space="preserve">Ergebnis: </w:t>
      </w:r>
      <w:r>
        <w:t>Drei Auffrischimpfungen reduzierten Hospitalisierung/Tod um 80% (aOR 0,20; 95%-KI 0,15–0,28), zwei Dosen um 71% (aOR 0,29; 95%-KI 0,23–0,36), eine Dosis um 44% (aOR 0,56; 95%-KI 0,48–0,65). Schutz bestand innerhalb 365 Tage nach Impfung; Impfungen &gt;365 Tage alt zeigten keinen signifikanten 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primärärztliche Flächendaten mit Impfquoten und Krankenhausdokumentation, auf deutsches System übertragbar.</w:t>
      </w:r>
    </w:p>
    <w:p>
      <w:r>
        <w:rPr>
          <w:color w:val="5A7D3A"/>
          <w:sz w:val="18"/>
        </w:rPr>
        <w:t>https://pubmed.ncbi.nlm.nih.gov/42399080/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