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18.10.2026  |  6 Studien  |  impfen.m-vf.de</w:t>
      </w:r>
    </w:p>
    <w:p>
      <w:pPr>
        <w:pStyle w:val="Heading1"/>
      </w:pPr>
      <w:r>
        <w:t>Aufgenommen am 18.10.2026</w:t>
      </w:r>
    </w:p>
    <w:p>
      <w:pPr>
        <w:pStyle w:val="Heading2"/>
      </w:pPr>
      <w:r>
        <w:t>Impfeffektivität im Feld: Biologisches Monitoring statt nur Verwaltungsquoten</w:t>
      </w:r>
    </w:p>
    <w:p>
      <w:r>
        <w:rPr>
          <w:i/>
          <w:color w:val="666666"/>
          <w:sz w:val="18"/>
        </w:rPr>
        <w:t>Adedeji AA et al.  ·  Front Public Health  ·  02.10.2026  ·  PMID 42890904</w:t>
      </w:r>
    </w:p>
    <w:p>
      <w:r>
        <w:t>Konzeptioneller Rahmen für Population-Level Immunologic Monitoring (PLIM) in Ruanda und Ostafrika, um Impfwirksamkeit auf Bevölkerungsebene in Echtzeit zu erfassen – nicht nur Verwaltungsdaten.</w:t>
      </w:r>
    </w:p>
    <w:p>
      <w:r>
        <w:rPr>
          <w:b/>
        </w:rPr>
        <w:t xml:space="preserve">Ergebnis: </w:t>
      </w:r>
      <w:r>
        <w:t>PLIM-Modell integriert drei Säulen: biologische Sentinel-Überwachung (Trockenblutkarten mit ELISA und T-Zell-Aktivierungsassays), Risiko-Stratifizierung und digitales Feedback über DHIS2. Population Immunologic Threshold (PIT) als Komposit-Metrik verbindet individuelle Schutzkorrelate mit Herdenimmunitätsschwellwerten. Modell adressiert ‚biologische Kaltflecken' vor Ausbrüchen; erfordert noch Validierungsstudien vor Implementierung.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Rwanda-Pilotstudie geplant, auf SSA übertragbar; für Deutschland weniger relevant ohne ähnliche Impfregister-Infrastruktur.</w:t>
      </w:r>
    </w:p>
    <w:p>
      <w:r>
        <w:rPr>
          <w:color w:val="5A7D3A"/>
          <w:sz w:val="18"/>
        </w:rPr>
        <w:t>https://pubmed.ncbi.nlm.nih.gov/42890904/</w:t>
      </w:r>
    </w:p>
    <w:p>
      <w:pPr>
        <w:pStyle w:val="Heading2"/>
      </w:pPr>
      <w:r>
        <w:t>HPV-Impfquoten bei Menschen mit Behinderungen: Barrieren und Ungleichheit</w:t>
      </w:r>
    </w:p>
    <w:p>
      <w:r>
        <w:rPr>
          <w:i/>
          <w:color w:val="666666"/>
          <w:sz w:val="18"/>
        </w:rPr>
        <w:t>Walmsley S et al.  ·  Hum Vaccin Immunother  ·  16.10.2026  ·  PMID 42886011</w:t>
      </w:r>
    </w:p>
    <w:p>
      <w:r>
        <w:t>Scoping Review zur HPV-Impfabdeckung und Zugangsbarrieren für Menschen mit Behinderungen in 33 Studien aus Hocheinkommensländern (2006–2025).</w:t>
      </w:r>
    </w:p>
    <w:p>
      <w:r>
        <w:rPr>
          <w:b/>
        </w:rPr>
        <w:t xml:space="preserve">Ergebnis: </w:t>
      </w:r>
      <w:r>
        <w:t>Konsistente Ungleichheiten in der HPV-Impfquote für Menschen mit Behinderungen dokumentiert. Hauptbarrieren: falsche Annahmen über Sexualverhalten (unvollständig quantifiziert), fehlende Impfempfehlungen von Fachpersonen in klinischen Settings (65 % der Studien berichten dies), Mangel an Personalschulung. Erhebliche Forschungslücken für Menschen mit körperlichen, psychosozialen, Seh- oder Hörstörungen; keine Populationsdaten aus Niedrig-/Mitteleinkommen-Ländern verfügbar.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und europäische Systeme, aber Barrieren (Fachpersonal, Settings) sind auch in Deutschland relevant.</w:t>
      </w:r>
    </w:p>
    <w:p>
      <w:r>
        <w:rPr>
          <w:color w:val="5A7D3A"/>
          <w:sz w:val="18"/>
        </w:rPr>
        <w:t>https://pubmed.ncbi.nlm.nih.gov/42886011/</w:t>
      </w:r>
    </w:p>
    <w:p>
      <w:pPr>
        <w:pStyle w:val="Heading2"/>
      </w:pPr>
      <w:r>
        <w:t>SARS-CoV-2-Impfschutz in der Bevölkerung: Serologische Querschnittmessung vor Omicron</w:t>
      </w:r>
    </w:p>
    <w:p>
      <w:r>
        <w:rPr>
          <w:i/>
          <w:color w:val="666666"/>
          <w:sz w:val="18"/>
        </w:rPr>
        <w:t>Yang Y et al.  ·  PLoS One  ·  15.10.2026  ·  PMID 42879418</w:t>
      </w:r>
    </w:p>
    <w:p>
      <w:r>
        <w:t>Längsschnittstudie bei 156 Serumproben von 117 Teilnehmern (HIVE-Kohorte) mit Multiplex-Elektrochemilumineszenz (ECL), ACE2-Hemmungsassays und Pseudoviral-Neutralisationstests für Varianten-spezifische IgG (Juli–Dezember 2021).</w:t>
      </w:r>
    </w:p>
    <w:p>
      <w:r>
        <w:rPr>
          <w:b/>
        </w:rPr>
        <w:t xml:space="preserve">Ergebnis: </w:t>
      </w:r>
      <w:r>
        <w:t>Hohe Korrelationen zwischen ECL, ACE2 und PN (0,81–0,95). ROC-Analysen: ECL IgG diskriminiert Impfstatus (AUC 0,84–0,88, Sensitivität 0,88–0,91, Spezifität 0,87–0,88); ACE2 variabler (AUC 0,53–0,96). IgG-Konzentrationen stiegen mit Alter, plateau in frühem Erwachsenenalter; präzise Schätzungen für junge Altersgruppen wegen kleiner Stichproben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USA-Kohorte; Serologie-Methodik auf Deutschland übertragbar, aber Bevölkerungsdaten kontextabhängig.</w:t>
      </w:r>
    </w:p>
    <w:p>
      <w:r>
        <w:rPr>
          <w:color w:val="5A7D3A"/>
          <w:sz w:val="18"/>
        </w:rPr>
        <w:t>https://pubmed.ncbi.nlm.nih.gov/42879418/</w:t>
      </w:r>
    </w:p>
    <w:p>
      <w:pPr>
        <w:pStyle w:val="Heading2"/>
      </w:pPr>
      <w:r>
        <w:t>CAR-T-Persistenz vorhersagt Ansprechen auf Salvage-Bestrahlung bei lymphomrezidiv</w:t>
      </w:r>
    </w:p>
    <w:p>
      <w:r>
        <w:rPr>
          <w:i/>
          <w:color w:val="666666"/>
          <w:sz w:val="18"/>
        </w:rPr>
        <w:t>Fan J et al.  ·  Acta Oncol  ·  17.09.2026  ·  PMID 42752612</w:t>
      </w:r>
    </w:p>
    <w:p>
      <w:r>
        <w:t>Retrospektive Analyse von 13 DLBCL-Patienten (18 Läsionen), die nach CAR-T-Therapie rezidiviert und eine Salvage-Bestrahlung erhielten, mit CAR-Transgene-Verfolgung.</w:t>
      </w:r>
    </w:p>
    <w:p>
      <w:r>
        <w:rPr>
          <w:b/>
        </w:rPr>
        <w:t xml:space="preserve">Ergebnis: </w:t>
      </w:r>
      <w:r>
        <w:t>Lokales Ansprechrate 83 % (15/18 Läsionen). CAR-Transgene-Muster bei Rezidiv: erhöht (n=4), persistierend &gt;6 Monate (n=4), abnehmend (n=5). Lokales Ansprechrate 100 % bzw. 100 % vs. 57 %; 12-Monats-Kontrolle 83 %, 100 %, 14 %; 12-Monats-Gesamtüberleben 100 %, 100 %, 20 %. Toxizität Grad ≤2. Autoren betonen hypothesengenerierendes Design, Validierung in größeren Kohorten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(Köln), vergleichbares Universitätssystem.</w:t>
      </w:r>
    </w:p>
    <w:p>
      <w:r>
        <w:rPr>
          <w:color w:val="5A7D3A"/>
          <w:sz w:val="18"/>
        </w:rPr>
        <w:t>https://pubmed.ncbi.nlm.nih.gov/42752612/</w:t>
      </w:r>
    </w:p>
    <w:p>
      <w:pPr>
        <w:pStyle w:val="Heading2"/>
      </w:pPr>
      <w:r>
        <w:t>CD19-CAR-T-Therapie bei therapierefraktärer rheumatoider Arthritis: klinische Machbarkeit</w:t>
      </w:r>
    </w:p>
    <w:p>
      <w:r>
        <w:rPr>
          <w:i/>
          <w:color w:val="666666"/>
          <w:sz w:val="18"/>
        </w:rPr>
        <w:t>Albach FN et al.  ·  Nat Med  ·  27.08.2026  ·  PMID 42661098</w:t>
      </w:r>
    </w:p>
    <w:p>
      <w:r>
        <w:t>Phase-1-Studie zur Sicherheit und Wirksamkeit der autologen CD19-CAR-T-Zelltherapie (mivocabtagene autoleucel) bei 6 Patienten mit schwerer, therapieresistenter anti-CCP-positiver rheumatoider Arthritis.</w:t>
      </w:r>
    </w:p>
    <w:p>
      <w:r>
        <w:rPr>
          <w:b/>
        </w:rPr>
        <w:t xml:space="preserve">Ergebnis: </w:t>
      </w:r>
      <w:r>
        <w:t>Zytokerin-Freisetzungssyndrom (CRS) bei allen 6 Patienten, begrenzt auf Grad 1–2; kein ICANS oder schwere Nebenwirkungen außer einer Grad-3-Transaminase-Elevation (resolviert). Klinisch: Krankheitsaktivität bei allen Patienten verbessert (medianer DAS28-CRP-Rückgang 34 %), ACR-70-Response bei 3/6, Autoantikörper-Serokonversion bei 4–5/6. Arzneimittel-induzierte B-Zell-Depletion mit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Deutsches Zentrum-Setting (Charité Berlin), deutsche Patienten, Sozialversicherungssystem vergleichbar.</w:t>
      </w:r>
    </w:p>
    <w:p>
      <w:r>
        <w:rPr>
          <w:color w:val="5A7D3A"/>
          <w:sz w:val="18"/>
        </w:rPr>
        <w:t>https://pubmed.ncbi.nlm.nih.gov/42661098/</w:t>
      </w:r>
    </w:p>
    <w:p>
      <w:pPr>
        <w:pStyle w:val="Heading2"/>
      </w:pPr>
      <w:r>
        <w:t>HPV-L2-Vakzine: Schutzwirkung unter Alltagsbedingungen hängt von Prior-Exposition ab</w:t>
      </w:r>
    </w:p>
    <w:p>
      <w:r>
        <w:rPr>
          <w:i/>
          <w:color w:val="666666"/>
          <w:sz w:val="18"/>
        </w:rPr>
        <w:t>Alvarez J et al.  ·  J Virol  ·  22.09.2026  ·  PMID 42627231</w:t>
      </w:r>
    </w:p>
    <w:p>
      <w:r>
        <w:t>Phase-1-Studie bei 20 gesunden Probanden mit AAVLP-HPV-Vakzine (20 μg) zur Immunogenität und Schutzübertragung gegen multiple HPV-Genotypen.</w:t>
      </w:r>
    </w:p>
    <w:p>
      <w:r>
        <w:rPr>
          <w:b/>
        </w:rPr>
        <w:t xml:space="preserve">Ergebnis: </w:t>
      </w:r>
      <w:r>
        <w:t>AAVLP-HPV gut verträglich, induzierte modest L2-spezifische Antikörper, die in-vitro HPV16, HPV31, HPV5 neutralisierten. Nach passivem Serumtransfer in Mäuse: Schutz gegen HPV16, HPV31, HPV5, nicht HPV76. HPV-naive Probanden benötigten 3 Dosen für Schutz, vorher exponierte 2 Dosen mit höheren Titern. Prior-AAV2-Exposition verminderte L2-Neutralisations-Antikörper und Schutz deutlich (Original-Antigenic-Sin-Effekt).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Sicherheit transferierbar; Prior-Exposition-Effekte auch in Deutschland relevant.</w:t>
      </w:r>
    </w:p>
    <w:p>
      <w:r>
        <w:rPr>
          <w:color w:val="5A7D3A"/>
          <w:sz w:val="18"/>
        </w:rPr>
        <w:t>https://pubmed.ncbi.nlm.nih.gov/42627231/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2026-10-18T06:00:00Z</dcterms:created>
  <dcterms:modified xsi:type="dcterms:W3CDTF">2026-10-18T06:00:00Z</dcterms:modified>
  <cp:category/>
</cp:coreProperties>
</file>