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Praevention</w:t>
      </w:r>
    </w:p>
    <w:p>
      <w:r>
        <w:rPr>
          <w:i/>
          <w:color w:val="666666"/>
          <w:sz w:val="18"/>
        </w:rPr>
        <w:t>Stand: 19.10.2026  |  6 Studien  |  impfen.m-vf.de</w:t>
      </w:r>
    </w:p>
    <w:p>
      <w:pPr>
        <w:pStyle w:val="Heading1"/>
      </w:pPr>
      <w:r>
        <w:t>Aufgenommen am 19.10.2026</w:t>
      </w:r>
    </w:p>
    <w:p>
      <w:pPr>
        <w:pStyle w:val="Heading2"/>
      </w:pPr>
      <w:r>
        <w:t>Tetanus-Antikörper bei Tumorkindern nach Chemotherapie: Impfung erforderlich</w:t>
      </w:r>
    </w:p>
    <w:p>
      <w:r>
        <w:rPr>
          <w:i/>
          <w:color w:val="666666"/>
          <w:sz w:val="18"/>
        </w:rPr>
        <w:t>Xu YY et al.  ·  Zhonghua Yu Fang Yi Xue Za Zhi  ·  06.10.2026  ·  PMID 42893916</w:t>
      </w:r>
    </w:p>
    <w:p>
      <w:r>
        <w:t>Vergleich der Tetanus-IgG-Antikörperspiegel bei 293 Kindern mit Blutkrebs vor und einen Monat nach Chemotherapie sowie in 293 altersgleichen gesunden Kontrollkindern aus Zhejiang, China.</w:t>
      </w:r>
    </w:p>
    <w:p>
      <w:r>
        <w:rPr>
          <w:b/>
        </w:rPr>
        <w:t xml:space="preserve">Ergebnis: </w:t>
      </w:r>
      <w:r>
        <w:t>Tetanus-IgG-Antikörper nach Chemotherapie sanken signifikant: Seropositiv-Rate von 84,64% (vor Therapie) auf 70,99% (nach Therapie, p&lt;0,001); geometrischer Mittelwert fiel von 1,22±0,17 auf 0,73±0,11 IU/ml (p&lt;0,001). Nach Chemotherapie lagen beide Parameter unter denen der gesunden Kontrollen (84,98% positiv; GMC 1,06±0,06 IU/ml). Schlussfolgerung: Impfung gegen Tetanus ist nach Chemotherapie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Pädiatrie-Kohorte; Befund zur Impfindikation bei immunsupprimierten Kindern universal übertragbar.</w:t>
      </w:r>
    </w:p>
    <w:p>
      <w:r>
        <w:rPr>
          <w:color w:val="5A7D3A"/>
          <w:sz w:val="18"/>
        </w:rPr>
        <w:t>https://pubmed.ncbi.nlm.nih.gov/42893916/</w:t>
      </w:r>
    </w:p>
    <w:p>
      <w:pPr>
        <w:pStyle w:val="Heading2"/>
      </w:pPr>
      <w:r>
        <w:t>RSV-Impfung in Schwangerschaft: Impfquote in Sydney stieg von 4 auf 70–74 Prozent in acht Monaten</w:t>
      </w:r>
    </w:p>
    <w:p>
      <w:r>
        <w:rPr>
          <w:i/>
          <w:color w:val="666666"/>
          <w:sz w:val="18"/>
        </w:rPr>
        <w:t>Townshend I et al.  ·  Public Health Res Pract  ·  10.12.2026  ·  PMID 42893694</w:t>
      </w:r>
    </w:p>
    <w:p>
      <w:r>
        <w:t>Beschreibung der Implementierung der RSV-Impfung für Schwangere und des monoklonalen Antikörpers Nirsevimab für Neugeborene in zwei Krankenhäusern der Sydney Local Health District mit Tracking der Impfquoten und dokumentierten Lektionen.</w:t>
      </w:r>
    </w:p>
    <w:p>
      <w:r>
        <w:rPr>
          <w:b/>
        </w:rPr>
        <w:t xml:space="preserve">Ergebnis: </w:t>
      </w:r>
      <w:r>
        <w:t>RSV-Impfquote bei gebärenden Frauen stieg von 4% im Februar 2025 auf 70–74% von Juni bis September 2025. Mit steigender Impfquote bei Müttern sank die Zahl der Neugeborenen, die Nirsevimab benötigten. Von anspruchsberechtigten Neugeborenen lehnten 36% Nirsevimab ab; Ablehnungsgründe wurden nicht dokumentiert. Kritische Erfolgsfaktoren: multidisziplinäre Führung, Nutzung bestehender Schulungsstrukturen und Integration in Dokumentationsabläufe.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direkter Transfer auf föderale Rollout-Strukturen begrenzt; Implementierungslektionen für europäische Systeme relevant.</w:t>
      </w:r>
    </w:p>
    <w:p>
      <w:r>
        <w:rPr>
          <w:color w:val="5A7D3A"/>
          <w:sz w:val="18"/>
        </w:rPr>
        <w:t>https://pubmed.ncbi.nlm.nih.gov/42893694/</w:t>
      </w:r>
    </w:p>
    <w:p>
      <w:pPr>
        <w:pStyle w:val="Heading2"/>
      </w:pPr>
      <w:r>
        <w:t>Impfschulung für Gesundheitshelfer erhöht Wissen, nicht Impfbereitschaft</w:t>
      </w:r>
    </w:p>
    <w:p>
      <w:r>
        <w:rPr>
          <w:i/>
          <w:color w:val="666666"/>
          <w:sz w:val="18"/>
        </w:rPr>
        <w:t>Bostan YE  ·  J Eval Clin Pract  ·  Okt. 2026  ·  PMID 42893536</w:t>
      </w:r>
    </w:p>
    <w:p>
      <w:r>
        <w:t>Evaluierung eines vierstündigen Impfschulungsprogramms für 272 türkische Gesundheitshelfer mit Messung von Impfwissen und Vaccine Hesitancy vor und nach dem Training.</w:t>
      </w:r>
    </w:p>
    <w:p>
      <w:r>
        <w:rPr>
          <w:b/>
        </w:rPr>
        <w:t xml:space="preserve">Ergebnis: </w:t>
      </w:r>
      <w:r>
        <w:t>Impfwissen stieg erheblich von 6,77 auf 8,76 von 10 Punkten (dz=1,34, p&lt;0,001); 84,9% der Teilnehmer verbesserten ihre Punktzahl. Vaccine Hesitancy sank statistisch signifikant, aber praktisch unbedeutend um 0,90 Punkte (dz=-0,13, p=0,033), entsprechend nur 1,9% der Skalaspanne; 51,4% zeigten niedrigere, 36,3% höhere Werte nach Training.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ähnliche Herausforderungen bei Vaccine Hesitancy; Design ohne Kontrollgruppe begrenzt Kausalitätsaussagen.</w:t>
      </w:r>
    </w:p>
    <w:p>
      <w:r>
        <w:rPr>
          <w:color w:val="5A7D3A"/>
          <w:sz w:val="18"/>
        </w:rPr>
        <w:t>https://pubmed.ncbi.nlm.nih.gov/42893536/</w:t>
      </w:r>
    </w:p>
    <w:p>
      <w:pPr>
        <w:pStyle w:val="Heading2"/>
      </w:pPr>
      <w:r>
        <w:t>RSV-Impfung in der Schwangerschaft: Laufendes Evidenz-Update geplant</w:t>
      </w:r>
    </w:p>
    <w:p>
      <w:r>
        <w:rPr>
          <w:i/>
          <w:color w:val="666666"/>
          <w:sz w:val="18"/>
        </w:rPr>
        <w:t>Mazzoni A et al.  ·  JMIR Res Protoc  ·  15.10.2026  ·  PMID 42893392</w:t>
      </w:r>
    </w:p>
    <w:p>
      <w:r>
        <w:t>Protokoll für eine kontinuierlich aktualisierte systematische Übersicht und Metaanalyse zur Wirksamkeit, Effektivität und Immunogenität der RSV-PreF-Impfung bei schwangeren Frauen, mit Fokus auf postmarkt-Daten aus der Versorgung.</w:t>
      </w:r>
    </w:p>
    <w:p>
      <w:r>
        <w:rPr>
          <w:b/>
        </w:rPr>
        <w:t xml:space="preserve">Ergebnis: </w:t>
      </w:r>
      <w:r>
        <w:t>Stand Januar 2026: 837 Publikationen gescreent, 105 (12,5%) im Volltext bewertet, 12 (1,4%) erfüllten Einschlusskriterien, 10 (1,2%) lieferten verwertbare Daten. Suche läuft bis mindestens April 2028 mit monatlichen Updates. Erste Effektivitätsschätzungen verfügbar voraussichtlich Juli 2026. Interaktives Dashboard für Echtzeit-Datenzugang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Zusammensetzung (Argentinien, USA, Tulane); Ergebnisse gelten für alle Länder mit RSV-Impfprogrammen.</w:t>
      </w:r>
    </w:p>
    <w:p>
      <w:r>
        <w:rPr>
          <w:color w:val="5A7D3A"/>
          <w:sz w:val="18"/>
        </w:rPr>
        <w:t>https://pubmed.ncbi.nlm.nih.gov/42893392/</w:t>
      </w:r>
    </w:p>
    <w:p>
      <w:pPr>
        <w:pStyle w:val="Heading2"/>
      </w:pPr>
      <w:r>
        <w:t>Atemwegsimpfungen für Erwachsene: Kosten-Nutzen-Analyse mit 11:1 Rendite</w:t>
      </w:r>
    </w:p>
    <w:p>
      <w:r>
        <w:rPr>
          <w:i/>
          <w:color w:val="666666"/>
          <w:sz w:val="18"/>
        </w:rPr>
        <w:t>Napier M et al.  ·  Expert Rev Vaccines  ·  17.10.2026  ·  PMID 42892738</w:t>
      </w:r>
    </w:p>
    <w:p>
      <w:r>
        <w:t>Benefit-Cost-Analyse der Impfungen gegen Pneumokokken, RSV, Influenza und COVID-19 bei Erwachsenen in Australien über zehn Jahre aus gesamtgesellschaftlicher Perspektive.</w:t>
      </w:r>
    </w:p>
    <w:p>
      <w:r>
        <w:rPr>
          <w:b/>
        </w:rPr>
        <w:t xml:space="preserve">Ergebnis: </w:t>
      </w:r>
      <w:r>
        <w:t>Impfprogramme generierten einen Nutzen-Kosten-Verhältnis von 11,24:1 (mit Lebenswertwertschätzung) bzw. 5,69:1 (mit Lebensjahreswert), verhinderten 234.187 Hospitalisierungen und 13.890 Todesfälle, mit Nettonutzen von 64,97 Mrd. oder 29,76 Mrd. australischen Dollar.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vergleichbares Sozialversicherungssystem; Methodik auf DACH übertragbar.</w:t>
      </w:r>
    </w:p>
    <w:p>
      <w:r>
        <w:rPr>
          <w:color w:val="5A7D3A"/>
          <w:sz w:val="18"/>
        </w:rPr>
        <w:t>https://pubmed.ncbi.nlm.nih.gov/42892738/</w:t>
      </w:r>
    </w:p>
    <w:p>
      <w:pPr>
        <w:pStyle w:val="Heading2"/>
      </w:pPr>
      <w:r>
        <w:t>Typhus-Impfschutz hängt von CD8+-T-Zell-Profilen ab, nicht nur von deren Menge</w:t>
      </w:r>
    </w:p>
    <w:p>
      <w:r>
        <w:rPr>
          <w:i/>
          <w:color w:val="666666"/>
          <w:sz w:val="18"/>
        </w:rPr>
        <w:t>Booth JS et al.  ·  Front Cell Infect Microbiol  ·  02.10.2026  ·  PMID 42890021</w:t>
      </w:r>
    </w:p>
    <w:p>
      <w:r>
        <w:t>Untersuchung von CD8+-T-Zell-Mustern bei 53 Probanden nach Ty21a-Impfung und kontrolierter Exposition gegenüber virulenten Typhi-Bakterien mittels hochdimensionaler Durchflusszytometrie.</w:t>
      </w:r>
    </w:p>
    <w:p>
      <w:r>
        <w:rPr>
          <w:b/>
        </w:rPr>
        <w:t xml:space="preserve">Ergebnis: </w:t>
      </w:r>
      <w:r>
        <w:t>Probanden ohne Typhuserkrankung (NoTD) zeigten distinct multifunktionale, schutzassoziierte CD8+-T-Zell-Programme, während erkrankte Probanden (TD) divergente, anfälligkeitsassoziierte Muster aufwiesen. NoTD-CD8+-T-Zellen waren angereichert mit CXCR3, IL-17A, TNFα und MIP1b; TD-Zellen zeigten CCR6- und α4β7-Bias. Schutz und Anfälligkeit verteilten sich über mehrere CD8+-T-Zell-Subtypen, nicht auf einzelne.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UK/USA-Studie; Mechanismen gelten universell, Übertragbarkeit auf Impfqualitätskontrolle hoch.</w:t>
      </w:r>
    </w:p>
    <w:p>
      <w:r>
        <w:rPr>
          <w:color w:val="5A7D3A"/>
          <w:sz w:val="18"/>
        </w:rPr>
        <w:t>https://pubmed.ncbi.nlm.nih.gov/42890021/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Praevention</dc:title>
  <dc:subject/>
  <dc:creator>Monitor Versorgungsforschung</dc:creator>
  <cp:keywords/>
  <dc:description>generated by python-docx</dc:description>
  <cp:lastModifiedBy/>
  <cp:revision>1</cp:revision>
  <dcterms:created xsi:type="dcterms:W3CDTF">2026-10-19T06:00:00Z</dcterms:created>
  <dcterms:modified xsi:type="dcterms:W3CDTF">2026-10-19T06:00:00Z</dcterms:modified>
  <cp:category/>
</cp:coreProperties>
</file>