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09.10.2026  |  6 Studien  |  impfen.m-vf.de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Impfprice und Botschaftsrahmen beeinflussen Impfbereitschaft gegen Influenza in China</w:t>
      </w:r>
    </w:p>
    <w:p>
      <w:r>
        <w:rPr>
          <w:i/>
          <w:color w:val="666666"/>
          <w:sz w:val="18"/>
        </w:rPr>
        <w:t>Chu Y et al.  ·  Hum Vaccin Immunother  ·  31.12.2026  ·  PMID 42850200</w:t>
      </w:r>
    </w:p>
    <w:p>
      <w:r>
        <w:t>Experimentelle Studie mit 1.408 chinesischen Studierenden zur Wirkung von Preis, Nachrichtenframing (Gewinn vs. Verlust) und Werteorientierung (individualistisch vs. kollektivistisch) auf Bereitschaft zur Grippeimpfung.</w:t>
      </w:r>
    </w:p>
    <w:p>
      <w:r>
        <w:rPr>
          <w:b/>
        </w:rPr>
        <w:t xml:space="preserve">Ergebnis: </w:t>
      </w:r>
      <w:r>
        <w:t>Impfbereitschaft sank mit steigendem Preis signifikant. Bei kostenloser Impfung: keine signifikanten Unterschiede zwischen Botschaftstypen. Bei Bezahlung: Verlust-gerahmt und individualistisch-orientiert Botschaften wirksamer; individualistisch-Verlust-Botschaft zeigte stärksten Effekt. Perceived severity und vaccine effectiveness vermittelten den 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Befragungsstudie; kulturelle Besonderheiten, begrenzte Übertragbarkeit auf Deutschland</w:t>
      </w:r>
    </w:p>
    <w:p>
      <w:r>
        <w:rPr>
          <w:color w:val="5A7D3A"/>
          <w:sz w:val="18"/>
        </w:rPr>
        <w:t>https://pubmed.ncbi.nlm.nih.gov/42850200/</w:t>
      </w:r>
    </w:p>
    <w:p>
      <w:pPr>
        <w:pStyle w:val="Heading2"/>
      </w:pPr>
      <w:r>
        <w:t>Pneumokokkenimpfung in Südafrika: Kosteneffektivität PCV20 vs. PPSV23 bei HIV-Risikogruppen</w:t>
      </w:r>
    </w:p>
    <w:p>
      <w:r>
        <w:rPr>
          <w:i/>
          <w:color w:val="666666"/>
          <w:sz w:val="18"/>
        </w:rPr>
        <w:t>Wang WW et al.  ·  Hum Vaccin Immunother  ·  08.10.2026  ·  PMID 42849061</w:t>
      </w:r>
    </w:p>
    <w:p>
      <w:r>
        <w:t>Statische Entscheidungsbaummodellierung aus Perspektive südafrikanischer Gesundheitskassen zur Kosteneffektivität von PCV20 vs. PPSV23 bei über 65-Jährigen, mit HIV-Stratifizierung.</w:t>
      </w:r>
    </w:p>
    <w:p>
      <w:r>
        <w:rPr>
          <w:b/>
        </w:rPr>
        <w:t xml:space="preserve">Ergebnis: </w:t>
      </w:r>
      <w:r>
        <w:t>Bei Allgemeinbevölkerung ≥65 Jahre: PCV20 mehr Gesundheitsnutzen, aber ICER 17.323 USD/QALY (nicht kosteneffektiv zu aktuellen Preisen). Bei älteren Erwachsenen mit HIV: ICER 2.104 USD/QALY (kosteneffektiv). Kosten Haupttreiber; zielgerichtete Impfung von HIV+ Älteren effizienter als universale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 – Modellstudie; HIV-Prävalenz und Ressourcenlimitierungen nicht auf Deutschland übertragbar</w:t>
      </w:r>
    </w:p>
    <w:p>
      <w:r>
        <w:rPr>
          <w:color w:val="5A7D3A"/>
          <w:sz w:val="18"/>
        </w:rPr>
        <w:t>https://pubmed.ncbi.nlm.nih.gov/42849061/</w:t>
      </w:r>
    </w:p>
    <w:p>
      <w:pPr>
        <w:pStyle w:val="Heading2"/>
      </w:pPr>
      <w:r>
        <w:t>Interventionen gegen Impfskepsis im Kindes- und Jugendalter 2012–2023: Integrative Übersicht</w:t>
      </w:r>
    </w:p>
    <w:p>
      <w:r>
        <w:rPr>
          <w:i/>
          <w:color w:val="666666"/>
          <w:sz w:val="18"/>
        </w:rPr>
        <w:t>Rocha FMD et al.  ·  Cien Saude Colet  ·  05.10.2026  ·  PMID 42848635</w:t>
      </w:r>
    </w:p>
    <w:p>
      <w:r>
        <w:t>Integrative Literaturübersicht über 45 Interventionsstudien zur Minderung von Vaccine Hesitancy bei Kinder- und Jugendimpfungen über 12 Jahre, systematisiert nach Methodik, Zielgruppe, Impfstoff und Evidenzlevel.</w:t>
      </w:r>
    </w:p>
    <w:p>
      <w:r>
        <w:rPr>
          <w:b/>
        </w:rPr>
        <w:t xml:space="preserve">Ergebnis: </w:t>
      </w:r>
      <w:r>
        <w:t>Mehrheit 2021–2023 veröffentlicht; quantitativ dominierend; Zielgruppe meist Eltern/Betreuer; häufigste Intervention: digitale Bildungsinhalte. Konvergenz mit Cs-Modell (Confidence, Complacency, Convenience). Interventionen können Strategien gegen Vaccine Hesitancy und evidenzgestützte Politiken informieren.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Brasilien/Portugiesischsprachig – narrative Übersichtsarbeit ohne quantitativ beschriebene Erfolgsraten</w:t>
      </w:r>
    </w:p>
    <w:p>
      <w:r>
        <w:rPr>
          <w:color w:val="5A7D3A"/>
          <w:sz w:val="18"/>
        </w:rPr>
        <w:t>https://pubmed.ncbi.nlm.nih.gov/42848635/</w:t>
      </w:r>
    </w:p>
    <w:p>
      <w:pPr>
        <w:pStyle w:val="Heading2"/>
      </w:pPr>
      <w:r>
        <w:t>HPV-Impfung vor Schwangerschaft senkt Risiken für ungünstige Schwangerschaftsergebnisse</w:t>
      </w:r>
    </w:p>
    <w:p>
      <w:r>
        <w:rPr>
          <w:i/>
          <w:color w:val="666666"/>
          <w:sz w:val="18"/>
        </w:rPr>
        <w:t>Zhang Z et al.  ·  BMJ  ·  07.10.2026  ·  PMID 42843853</w:t>
      </w:r>
    </w:p>
    <w:p>
      <w:r>
        <w:t>Bevölkerungsbasierte Matched-Case-Control-Studie in Schweden zur Assoziation zwischen quadrivalenter HPV-Impfung vor Schwangerschaft und Schwangerschaftskomplikationen bei 624.713 Geburten zwischen 2006 und 2023.</w:t>
      </w:r>
    </w:p>
    <w:p>
      <w:r>
        <w:rPr>
          <w:b/>
        </w:rPr>
        <w:t xml:space="preserve">Ergebnis: </w:t>
      </w:r>
      <w:r>
        <w:t>HPV-Impfung war mit niedrigeren Odds für ungünstige Schwangerschaftsergebnisse assoziiert: Frühgeborene &lt;37 Wochen (aOR 0,95, 95%-KI 0,91–0,99), sehr Frühgeborene 28–31 Wochen (aOR 0,85, 95%-KI 0,75–0,97), schwere Wachstumsretardierung (aOR 0,92, 95%-KI 0,87–0,97). Nutzen größer bei Impfung in jüngerem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– Registerdata, vergleichbares europäisches Gesundheitssystem</w:t>
      </w:r>
    </w:p>
    <w:p>
      <w:r>
        <w:rPr>
          <w:color w:val="5A7D3A"/>
          <w:sz w:val="18"/>
        </w:rPr>
        <w:t>https://pubmed.ncbi.nlm.nih.gov/42843853/</w:t>
      </w:r>
    </w:p>
    <w:p>
      <w:pPr>
        <w:pStyle w:val="Heading2"/>
      </w:pPr>
      <w:r>
        <w:t>Determinanten der Kinderimpfung unterscheiden sich in konfliktbetroffenen und stabilen Regionen Kameruns</w:t>
      </w:r>
    </w:p>
    <w:p>
      <w:r>
        <w:rPr>
          <w:i/>
          <w:color w:val="666666"/>
          <w:sz w:val="18"/>
        </w:rPr>
        <w:t>Rossi R et al.  ·  Front Public Health  ·  21.09.2026  ·  PMID 42835095</w:t>
      </w:r>
    </w:p>
    <w:p>
      <w:r>
        <w:t>Sekundäranalyse der Demographic and Health Survey 2018 Kamerun bei 1.824 Kindern im Alter 12–23 Monaten zur Assoziation zwischen Konfliktregionen und vollständiger Grundimpfung.</w:t>
      </w:r>
    </w:p>
    <w:p>
      <w:r>
        <w:rPr>
          <w:b/>
        </w:rPr>
        <w:t xml:space="preserve">Ergebnis: </w:t>
      </w:r>
      <w:r>
        <w:t>Gesamtimpfquote 53,1%; in Konfliktregionen 45,3% vs. nicht betroffen 56,0%. Nach Anpassung war Konflikt-Status nicht unabhängig assoziiert. Signifikante Prädiktoren überall: höheres Haushaltseinkommen, mütterliche Sekundar-/Hochschulbildung, Antenatal- und Postnatalbetreuung. Unterschiede nur in nicht-konfligierenden Regionen relevant.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Kamerun – DHS-Daten; Armuts- und Konfliktkontext, begrenzte Übertragbarkeit</w:t>
      </w:r>
    </w:p>
    <w:p>
      <w:r>
        <w:rPr>
          <w:color w:val="5A7D3A"/>
          <w:sz w:val="18"/>
        </w:rPr>
        <w:t>https://pubmed.ncbi.nlm.nih.gov/42835095/</w:t>
      </w:r>
    </w:p>
    <w:p>
      <w:pPr>
        <w:pStyle w:val="Heading2"/>
      </w:pPr>
      <w:r>
        <w:t>Impfempfehlungen für pädiatrische Transplantationsempfänger – Positionspapier des europäischen Referenznetzwerks</w:t>
      </w:r>
    </w:p>
    <w:p>
      <w:r>
        <w:rPr>
          <w:i/>
          <w:color w:val="666666"/>
          <w:sz w:val="18"/>
        </w:rPr>
        <w:t>Casotti V et al.  ·  J Pediatr Gastroenterol Nutr  ·  07.08.2026  ·  PMID 42563542</w:t>
      </w:r>
    </w:p>
    <w:p>
      <w:r>
        <w:t>Systematische Übersichtsarbeit mit evidenzgestützten Empfehlungen zu Impfungen bei Kindern nach Solid-Organ- oder Stammzelltransplantation, basierend auf Literaturanalyse und Konsens von Fachleuten aus 13 europäischen Ländern.</w:t>
      </w:r>
    </w:p>
    <w:p>
      <w:r>
        <w:rPr>
          <w:b/>
        </w:rPr>
        <w:t xml:space="preserve">Ergebnis: </w:t>
      </w:r>
      <w:r>
        <w:t>Bisher niedrige Impfquoten trotz etablierter Richtlinien; Barrieren: unvollständiger Impfstatus vor Transplantation, reduzierte Wirksamkeit durch Immunsuppression, Timing-Unsicherheiten, Vaccine Hesitancy. Empfehlungen: zeitnahe Immunisierung, optimales Timing nach Immunrekonstitution, Catch-up-Impfungen vor Transplantation.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(13 Länder) – Positionspapier; deutsche Zentren teilweise beteiligt</w:t>
      </w:r>
    </w:p>
    <w:p>
      <w:r>
        <w:rPr>
          <w:color w:val="5A7D3A"/>
          <w:sz w:val="18"/>
        </w:rPr>
        <w:t>https://pubmed.ncbi.nlm.nih.gov/42563542/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