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27.09.2026  |  6 Studien  |  impfen.m-vf.de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Nirsevimab-Immunisierung senkte RSV-Hospitalisierung bei Neugeborenen um 78 %</w:t>
      </w:r>
    </w:p>
    <w:p>
      <w:r>
        <w:rPr>
          <w:i/>
          <w:color w:val="666666"/>
          <w:sz w:val="18"/>
        </w:rPr>
        <w:t>Auriti C et al.  ·  Viruses  ·  07.09.2026  ·  PMID 42797813</w:t>
      </w:r>
    </w:p>
    <w:p>
      <w:r>
        <w:t>Italienische Studie zur Wirksamkeit der universellen Nirsevimab-Prophylaxe gegen RSV-assoziierte Krankenhauseinweisungen bei Neugeborenen im Routinebetrieb.</w:t>
      </w:r>
    </w:p>
    <w:p>
      <w:r>
        <w:rPr>
          <w:b/>
        </w:rPr>
        <w:t xml:space="preserve">Ergebnis: </w:t>
      </w:r>
      <w:r>
        <w:t>78,3 % Wirksamkeit gegen RSV-assoziierte Hospitalisierung; Nirsevimab-geimpfte Infanten hatten niedrigere RSV-Infektionsrate (33,99 % vs. 68,21 %; p&lt;0,001) und benötigten seltener Atemunterstützung (55,23 % vs. 70,07 %; p&lt;0,001). Unter hospitalisierten Infanten zeigte sich ein 80,2 % Rückgang der Atemunterstützung und 64,3 % weniger NICU-Aufnahmen durch Impfung.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Versicherungssystem und Impfkalender wie DACH</w:t>
      </w:r>
    </w:p>
    <w:p>
      <w:r>
        <w:rPr>
          <w:color w:val="5A7D3A"/>
          <w:sz w:val="18"/>
        </w:rPr>
        <w:t>https://pubmed.ncbi.nlm.nih.gov/42797813/</w:t>
      </w:r>
    </w:p>
    <w:p>
      <w:pPr>
        <w:pStyle w:val="Heading2"/>
      </w:pPr>
      <w:r>
        <w:t>Pneumokokken-Nasopharyngeal-Besiedlung bei hospitalisierten Kindern in Lettland</w:t>
      </w:r>
    </w:p>
    <w:p>
      <w:r>
        <w:rPr>
          <w:i/>
          <w:color w:val="666666"/>
          <w:sz w:val="18"/>
        </w:rPr>
        <w:t>Cupeca H et al.  ·  PLoS One  ·  25.09.2026  ·  PMID 42789531</w:t>
      </w:r>
    </w:p>
    <w:p>
      <w:r>
        <w:t>Querschnittsstudie zur Prävalenz und Serotyp-Verteilung von Pneumokokken-Besiedlung bei hospitalisierten Kindern während des Übergangs von PCV13 zu PCV15/PCV20.</w:t>
      </w:r>
    </w:p>
    <w:p>
      <w:r>
        <w:rPr>
          <w:b/>
        </w:rPr>
        <w:t xml:space="preserve">Ergebnis: </w:t>
      </w:r>
      <w:r>
        <w:t>Gesamtprävalenz der Besiedlung 21,8 % (70/321; 95%-KI: 17,6–26,6%); PCV-Impfquote 63,2 % (203/321), überwiegend PCV10; kein signifikanter Unterschied zwischen geimpften und ungeimpften Kindern (25,6 % vs. 16,7 %; p=0,138); häufigste Serotypen 20, 13, 48 – keine in PCV13-abgedeckt.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Baltische Region, aber Daten übertragbar auf deutschsprachige Länder bei ähnlichem PCV-Übergang</w:t>
      </w:r>
    </w:p>
    <w:p>
      <w:r>
        <w:rPr>
          <w:color w:val="5A7D3A"/>
          <w:sz w:val="18"/>
        </w:rPr>
        <w:t>https://pubmed.ncbi.nlm.nih.gov/42789531/</w:t>
      </w:r>
    </w:p>
    <w:p>
      <w:pPr>
        <w:pStyle w:val="Heading2"/>
      </w:pPr>
      <w:r>
        <w:t>Vertrauen und mRNA-Impfstoffakzeptanz durch deliberative Dialoge stärken</w:t>
      </w:r>
    </w:p>
    <w:p>
      <w:r>
        <w:rPr>
          <w:i/>
          <w:color w:val="666666"/>
          <w:sz w:val="18"/>
        </w:rPr>
        <w:t>Plamondon K et al.  ·  JMIR Res Protoc  ·  25.09.2026  ·  PMID 42789402</w:t>
      </w:r>
    </w:p>
    <w:p>
      <w:r>
        <w:t>Protokoll einer sequenziellen deliberativen Dialogstudie zu Bedingungen für informierte Öffentlichkeitsbeteiligung, Vertrauen und Akzeptanz emergenter Vakzin-Technologien am Beispiel mRNA-Impfstoffe.</w:t>
      </w:r>
    </w:p>
    <w:p>
      <w:r>
        <w:rPr>
          <w:b/>
        </w:rPr>
        <w:t xml:space="preserve">Ergebnis: </w:t>
      </w:r>
      <w:r>
        <w:t>Bis Juni 2026: 10 deliberative Dialoge und 1 selbstgeleiteter Dialog mit 77 Beteiligten durchgeführt; 2 summative Dialoge mit 18 Teilnehmern; erwartete Publikation Zweite Hälfte 2026; Fokus auf Verbesserung von Wissenschaftskompetenz, tailored Kommunikation unter Berücksichtigung historischer Ungleichheiten und Navigation von Polarisierung rund um Impfung.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aber deliberative Methode und Vertrauensfragen universal auf deutschsprachige Systeme übertragbar</w:t>
      </w:r>
    </w:p>
    <w:p>
      <w:r>
        <w:rPr>
          <w:color w:val="5A7D3A"/>
          <w:sz w:val="18"/>
        </w:rPr>
        <w:t>https://pubmed.ncbi.nlm.nih.gov/42789402/</w:t>
      </w:r>
    </w:p>
    <w:p>
      <w:pPr>
        <w:pStyle w:val="Heading2"/>
      </w:pPr>
      <w:r>
        <w:t>Hochdosis-Influenzaimpfung für kardiovaskuläre Prävention bei älteren Patienten</w:t>
      </w:r>
    </w:p>
    <w:p>
      <w:r>
        <w:rPr>
          <w:i/>
          <w:color w:val="666666"/>
          <w:sz w:val="18"/>
        </w:rPr>
        <w:t>Volpe M et al.  ·  G Ital Cardiol (Rome)  ·  Okt. 2026  ·  PMID 42788302</w:t>
      </w:r>
    </w:p>
    <w:p>
      <w:r>
        <w:t>Konsens-Papier fünf italienischer Fachgesellschaften zur Influenzaimpfung als Prävention kardiovaskulärer Komplikationen bei Risikopatienten, basierend auf FLUNITY-HD-Daten.</w:t>
      </w:r>
    </w:p>
    <w:p>
      <w:r>
        <w:rPr>
          <w:b/>
        </w:rPr>
        <w:t xml:space="preserve">Ergebnis: </w:t>
      </w:r>
      <w:r>
        <w:t>Hochdosis-Influenzaimpfung zeigt signifikante Vorteile gegenüber Standarddosis; Empfehlung für ältere Patienten und solche mit kardiovaskulärer Erkrankung zur Stärkung der Immunantwort und besseren kardiovaskulären Schutz.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aber zunehmende Evidenz aus großen europäischen Studien; übertragbar auf deutsche Impfpraxis</w:t>
      </w:r>
    </w:p>
    <w:p>
      <w:r>
        <w:rPr>
          <w:color w:val="5A7D3A"/>
          <w:sz w:val="18"/>
        </w:rPr>
        <w:t>https://pubmed.ncbi.nlm.nih.gov/42788302/</w:t>
      </w:r>
    </w:p>
    <w:p>
      <w:pPr>
        <w:pStyle w:val="Heading2"/>
      </w:pPr>
      <w:r>
        <w:t>Anti-CD19-CAR-T-Therapie in SLE: Keine Signale für beeinträchtigte Eierstockreserve</w:t>
      </w:r>
    </w:p>
    <w:p>
      <w:r>
        <w:rPr>
          <w:i/>
          <w:color w:val="666666"/>
          <w:sz w:val="18"/>
        </w:rPr>
        <w:t>Pecher AC et al.  ·  Rheumatology (Oxford)  ·  01.08.2026  ·  PMID 42584071</w:t>
      </w:r>
    </w:p>
    <w:p>
      <w:r>
        <w:t>Longitudinale Studie zu reproduktiven Hormonmarkern bei 13 Frauen mit schwerem, therapierefraktärem SLE nach anti-CD19-CAR-T-Zelltherapie.</w:t>
      </w:r>
    </w:p>
    <w:p>
      <w:r>
        <w:rPr>
          <w:b/>
        </w:rPr>
        <w:t xml:space="preserve">Ergebnis: </w:t>
      </w:r>
      <w:r>
        <w:t>AMH-Level stabil (1,54 ng/ml [IQR 0,64–3,15] vs. 2,14 ng/ml [0,63–3,26]; p=0,886); FSH moderat erhöht (6,60 IU/l [4,00–7,90] vs. 7,20 IU/l [4,50–9,90]; p=0,033), aber ohne begleitenden AMH-Rückgang; keine Signale einer beeinträchtigten Eierstockreserve unter Standardlymphodepletion.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Schweiz, Österreich – Immuntherapie-Zentren mit ähnlicher CAR-T-Infrastruktur</w:t>
      </w:r>
    </w:p>
    <w:p>
      <w:r>
        <w:rPr>
          <w:color w:val="5A7D3A"/>
          <w:sz w:val="18"/>
        </w:rPr>
        <w:t>https://pubmed.ncbi.nlm.nih.gov/42584071/</w:t>
      </w:r>
    </w:p>
    <w:p>
      <w:pPr>
        <w:pStyle w:val="Heading2"/>
      </w:pPr>
      <w:r>
        <w:t>Internetnutzung hat ambivalente Effekte auf Impfskepsis: Hochschulrechnung mit 48.538 Personen</w:t>
      </w:r>
    </w:p>
    <w:p>
      <w:r>
        <w:rPr>
          <w:i/>
          <w:color w:val="666666"/>
          <w:sz w:val="18"/>
        </w:rPr>
        <w:t>Helbing A et al.  ·  J Community Health  ·  16.07.2026  ·  PMID 42461515</w:t>
      </w:r>
    </w:p>
    <w:p>
      <w:r>
        <w:t>Multilevel-Logit-Analyse zu Zusammenhang zwischen Internetnutzung, digitaler Gesundheitskompetenz (DHL) und Impfskepsis auf Basis der ISSP 2021-Daten.</w:t>
      </w:r>
    </w:p>
    <w:p>
      <w:r>
        <w:rPr>
          <w:b/>
        </w:rPr>
        <w:t xml:space="preserve">Ergebnis: </w:t>
      </w:r>
      <w:r>
        <w:t>Nicht-lineare Beziehung: Personen ohne Internetzugang und solche mit sehr häufiger Online-Suche nach Impfinformation zeigen höhere Skepsis; niedrige DHL konsistent mit mehr Impfskepsis assoziiert; Unzufriedenheit mit Gesundheitssystem und niedrigere nationale Gesundheitsqualität verstärken Skepsis; Internetnutzung ist sowohl Bildungs- als auch Fehlinformationspotenzial.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48 Länder (ISSP), inklusive Deutschland; vergleichbare Sozialversicherungssysteme</w:t>
      </w:r>
    </w:p>
    <w:p>
      <w:r>
        <w:rPr>
          <w:color w:val="5A7D3A"/>
          <w:sz w:val="18"/>
        </w:rPr>
        <w:t>https://pubmed.ncbi.nlm.nih.gov/42461515/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