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Impfpraevention</w:t>
      </w:r>
    </w:p>
    <w:p>
      <w:r>
        <w:rPr>
          <w:i/>
          <w:color w:val="666666"/>
          <w:sz w:val="18"/>
        </w:rPr>
        <w:t>Stand: 27.09.2026  |  214 Studien  |  impfen.m-vf.de</w:t>
      </w:r>
    </w:p>
    <w:p>
      <w:pPr>
        <w:pStyle w:val="Heading1"/>
      </w:pPr>
      <w:r>
        <w:t>Aufgenommen am 27.09.2026</w:t>
      </w:r>
    </w:p>
    <w:p>
      <w:pPr>
        <w:pStyle w:val="Heading2"/>
      </w:pPr>
      <w:r>
        <w:t>Nirsevimab-Immunisierung senkte RSV-Hospitalisierung bei Neugeborenen um 78 %</w:t>
      </w:r>
    </w:p>
    <w:p>
      <w:r>
        <w:rPr>
          <w:i/>
          <w:color w:val="666666"/>
          <w:sz w:val="18"/>
        </w:rPr>
        <w:t>Auriti C et al.  ·  Viruses  ·  07.09.2026  ·  PMID 42797813</w:t>
      </w:r>
    </w:p>
    <w:p>
      <w:r>
        <w:t>Italienische Studie zur Wirksamkeit der universellen Nirsevimab-Prophylaxe gegen RSV-assoziierte Krankenhauseinweisungen bei Neugeborenen im Routinebetrieb.</w:t>
      </w:r>
    </w:p>
    <w:p>
      <w:r>
        <w:rPr>
          <w:b/>
        </w:rPr>
        <w:t xml:space="preserve">Ergebnis: </w:t>
      </w:r>
      <w:r>
        <w:t>78,3 % Wirksamkeit gegen RSV-assoziierte Hospitalisierung; Nirsevimab-geimpfte Infanten hatten niedrigere RSV-Infektionsrate (33,99 % vs. 68,21 %; p&lt;0,001) und benötigten seltener Atemunterstützung (55,23 % vs. 70,07 %; p&lt;0,001). Unter hospitalisierten Infanten zeigte sich ein 80,2 % Rückgang der Atemunterstützung und 64,3 % weniger NICU-Aufnahmen durch Impfung.</w:t>
      </w:r>
    </w:p>
    <w:p>
      <w:r>
        <w:rPr>
          <w:b/>
          <w:sz w:val="19"/>
        </w:rPr>
        <w:t xml:space="preserve">Übertragbarkeit: </w:t>
      </w:r>
      <w:r>
        <w:rPr>
          <w:sz w:val="19"/>
        </w:rPr>
        <w:t>Italien, vergleichbares Versicherungssystem und Impfkalender wie DACH</w:t>
      </w:r>
    </w:p>
    <w:p>
      <w:r>
        <w:rPr>
          <w:color w:val="5A7D3A"/>
          <w:sz w:val="18"/>
        </w:rPr>
        <w:t>https://pubmed.ncbi.nlm.nih.gov/42797813/</w:t>
      </w:r>
    </w:p>
    <w:p>
      <w:pPr>
        <w:pStyle w:val="Heading2"/>
      </w:pPr>
      <w:r>
        <w:t>Pneumokokken-Nasopharyngeal-Besiedlung bei hospitalisierten Kindern in Lettland</w:t>
      </w:r>
    </w:p>
    <w:p>
      <w:r>
        <w:rPr>
          <w:i/>
          <w:color w:val="666666"/>
          <w:sz w:val="18"/>
        </w:rPr>
        <w:t>Cupeca H et al.  ·  PLoS One  ·  25.09.2026  ·  PMID 42789531</w:t>
      </w:r>
    </w:p>
    <w:p>
      <w:r>
        <w:t>Querschnittsstudie zur Prävalenz und Serotyp-Verteilung von Pneumokokken-Besiedlung bei hospitalisierten Kindern während des Übergangs von PCV13 zu PCV15/PCV20.</w:t>
      </w:r>
    </w:p>
    <w:p>
      <w:r>
        <w:rPr>
          <w:b/>
        </w:rPr>
        <w:t xml:space="preserve">Ergebnis: </w:t>
      </w:r>
      <w:r>
        <w:t>Gesamtprävalenz der Besiedlung 21,8 % (70/321; 95%-KI: 17,6–26,6%); PCV-Impfquote 63,2 % (203/321), überwiegend PCV10; kein signifikanter Unterschied zwischen geimpften und ungeimpften Kindern (25,6 % vs. 16,7 %; p=0,138); häufigste Serotypen 20, 13, 48 – keine in PCV13-abgedeckt.</w:t>
      </w:r>
    </w:p>
    <w:p>
      <w:r>
        <w:rPr>
          <w:b/>
          <w:sz w:val="19"/>
        </w:rPr>
        <w:t xml:space="preserve">Übertragbarkeit: </w:t>
      </w:r>
      <w:r>
        <w:rPr>
          <w:sz w:val="19"/>
        </w:rPr>
        <w:t>Baltische Region, aber Daten übertragbar auf deutschsprachige Länder bei ähnlichem PCV-Übergang</w:t>
      </w:r>
    </w:p>
    <w:p>
      <w:r>
        <w:rPr>
          <w:color w:val="5A7D3A"/>
          <w:sz w:val="18"/>
        </w:rPr>
        <w:t>https://pubmed.ncbi.nlm.nih.gov/42789531/</w:t>
      </w:r>
    </w:p>
    <w:p>
      <w:pPr>
        <w:pStyle w:val="Heading2"/>
      </w:pPr>
      <w:r>
        <w:t>Vertrauen und mRNA-Impfstoffakzeptanz durch deliberative Dialoge stärken</w:t>
      </w:r>
    </w:p>
    <w:p>
      <w:r>
        <w:rPr>
          <w:i/>
          <w:color w:val="666666"/>
          <w:sz w:val="18"/>
        </w:rPr>
        <w:t>Plamondon K et al.  ·  JMIR Res Protoc  ·  25.09.2026  ·  PMID 42789402</w:t>
      </w:r>
    </w:p>
    <w:p>
      <w:r>
        <w:t>Protokoll einer sequenziellen deliberativen Dialogstudie zu Bedingungen für informierte Öffentlichkeitsbeteiligung, Vertrauen und Akzeptanz emergenter Vakzin-Technologien am Beispiel mRNA-Impfstoffe.</w:t>
      </w:r>
    </w:p>
    <w:p>
      <w:r>
        <w:rPr>
          <w:b/>
        </w:rPr>
        <w:t xml:space="preserve">Ergebnis: </w:t>
      </w:r>
      <w:r>
        <w:t>Bis Juni 2026: 10 deliberative Dialoge und 1 selbstgeleiteter Dialog mit 77 Beteiligten durchgeführt; 2 summative Dialoge mit 18 Teilnehmern; erwartete Publikation Zweite Hälfte 2026; Fokus auf Verbesserung von Wissenschaftskompetenz, tailored Kommunikation unter Berücksichtigung historischer Ungleichheiten und Navigation von Polarisierung rund um Impfung.</w:t>
      </w:r>
    </w:p>
    <w:p>
      <w:r>
        <w:rPr>
          <w:b/>
          <w:sz w:val="19"/>
        </w:rPr>
        <w:t xml:space="preserve">Übertragbarkeit: </w:t>
      </w:r>
      <w:r>
        <w:rPr>
          <w:sz w:val="19"/>
        </w:rPr>
        <w:t>Kanada, aber deliberative Methode und Vertrauensfragen universal auf deutschsprachige Systeme übertragbar</w:t>
      </w:r>
    </w:p>
    <w:p>
      <w:r>
        <w:rPr>
          <w:color w:val="5A7D3A"/>
          <w:sz w:val="18"/>
        </w:rPr>
        <w:t>https://pubmed.ncbi.nlm.nih.gov/42789402/</w:t>
      </w:r>
    </w:p>
    <w:p>
      <w:pPr>
        <w:pStyle w:val="Heading2"/>
      </w:pPr>
      <w:r>
        <w:t>Hochdosis-Influenzaimpfung für kardiovaskuläre Prävention bei älteren Patienten</w:t>
      </w:r>
    </w:p>
    <w:p>
      <w:r>
        <w:rPr>
          <w:i/>
          <w:color w:val="666666"/>
          <w:sz w:val="18"/>
        </w:rPr>
        <w:t>Volpe M et al.  ·  G Ital Cardiol (Rome)  ·  Okt. 2026  ·  PMID 42788302</w:t>
      </w:r>
    </w:p>
    <w:p>
      <w:r>
        <w:t>Konsens-Papier fünf italienischer Fachgesellschaften zur Influenzaimpfung als Prävention kardiovaskulärer Komplikationen bei Risikopatienten, basierend auf FLUNITY-HD-Daten.</w:t>
      </w:r>
    </w:p>
    <w:p>
      <w:r>
        <w:rPr>
          <w:b/>
        </w:rPr>
        <w:t xml:space="preserve">Ergebnis: </w:t>
      </w:r>
      <w:r>
        <w:t>Hochdosis-Influenzaimpfung zeigt signifikante Vorteile gegenüber Standarddosis; Empfehlung für ältere Patienten und solche mit kardiovaskulärer Erkrankung zur Stärkung der Immunantwort und besseren kardiovaskulären Schutz.</w:t>
      </w:r>
    </w:p>
    <w:p>
      <w:r>
        <w:rPr>
          <w:b/>
          <w:sz w:val="19"/>
        </w:rPr>
        <w:t xml:space="preserve">Übertragbarkeit: </w:t>
      </w:r>
      <w:r>
        <w:rPr>
          <w:sz w:val="19"/>
        </w:rPr>
        <w:t>Italien, aber zunehmende Evidenz aus großen europäischen Studien; übertragbar auf deutsche Impfpraxis</w:t>
      </w:r>
    </w:p>
    <w:p>
      <w:r>
        <w:rPr>
          <w:color w:val="5A7D3A"/>
          <w:sz w:val="18"/>
        </w:rPr>
        <w:t>https://pubmed.ncbi.nlm.nih.gov/42788302/</w:t>
      </w:r>
    </w:p>
    <w:p>
      <w:pPr>
        <w:pStyle w:val="Heading2"/>
      </w:pPr>
      <w:r>
        <w:t>Anti-CD19-CAR-T-Therapie in SLE: Keine Signale für beeinträchtigte Eierstockreserve</w:t>
      </w:r>
    </w:p>
    <w:p>
      <w:r>
        <w:rPr>
          <w:i/>
          <w:color w:val="666666"/>
          <w:sz w:val="18"/>
        </w:rPr>
        <w:t>Pecher AC et al.  ·  Rheumatology (Oxford)  ·  01.08.2026  ·  PMID 42584071</w:t>
      </w:r>
    </w:p>
    <w:p>
      <w:r>
        <w:t>Longitudinale Studie zu reproduktiven Hormonmarkern bei 13 Frauen mit schwerem, therapierefraktärem SLE nach anti-CD19-CAR-T-Zelltherapie.</w:t>
      </w:r>
    </w:p>
    <w:p>
      <w:r>
        <w:rPr>
          <w:b/>
        </w:rPr>
        <w:t xml:space="preserve">Ergebnis: </w:t>
      </w:r>
      <w:r>
        <w:t>AMH-Level stabil (1,54 ng/ml [IQR 0,64–3,15] vs. 2,14 ng/ml [0,63–3,26]; p=0,886); FSH moderat erhöht (6,60 IU/l [4,00–7,90] vs. 7,20 IU/l [4,50–9,90]; p=0,033), aber ohne begleitenden AMH-Rückgang; keine Signale einer beeinträchtigten Eierstockreserve unter Standardlymphodepletion.</w:t>
      </w:r>
    </w:p>
    <w:p>
      <w:r>
        <w:rPr>
          <w:b/>
          <w:sz w:val="19"/>
        </w:rPr>
        <w:t xml:space="preserve">Übertragbarkeit: </w:t>
      </w:r>
      <w:r>
        <w:rPr>
          <w:sz w:val="19"/>
        </w:rPr>
        <w:t>Deutschland, Schweiz, Österreich – Immuntherapie-Zentren mit ähnlicher CAR-T-Infrastruktur</w:t>
      </w:r>
    </w:p>
    <w:p>
      <w:r>
        <w:rPr>
          <w:color w:val="5A7D3A"/>
          <w:sz w:val="18"/>
        </w:rPr>
        <w:t>https://pubmed.ncbi.nlm.nih.gov/42584071/</w:t>
      </w:r>
    </w:p>
    <w:p>
      <w:pPr>
        <w:pStyle w:val="Heading2"/>
      </w:pPr>
      <w:r>
        <w:t>Internetnutzung hat ambivalente Effekte auf Impfskepsis: Hochschulrechnung mit 48.538 Personen</w:t>
      </w:r>
    </w:p>
    <w:p>
      <w:r>
        <w:rPr>
          <w:i/>
          <w:color w:val="666666"/>
          <w:sz w:val="18"/>
        </w:rPr>
        <w:t>Helbing A et al.  ·  J Community Health  ·  16.07.2026  ·  PMID 42461515</w:t>
      </w:r>
    </w:p>
    <w:p>
      <w:r>
        <w:t>Multilevel-Logit-Analyse zu Zusammenhang zwischen Internetnutzung, digitaler Gesundheitskompetenz (DHL) und Impfskepsis auf Basis der ISSP 2021-Daten.</w:t>
      </w:r>
    </w:p>
    <w:p>
      <w:r>
        <w:rPr>
          <w:b/>
        </w:rPr>
        <w:t xml:space="preserve">Ergebnis: </w:t>
      </w:r>
      <w:r>
        <w:t>Nicht-lineare Beziehung: Personen ohne Internetzugang und solche mit sehr häufiger Online-Suche nach Impfinformation zeigen höhere Skepsis; niedrige DHL konsistent mit mehr Impfskepsis assoziiert; Unzufriedenheit mit Gesundheitssystem und niedrigere nationale Gesundheitsqualität verstärken Skepsis; Internetnutzung ist sowohl Bildungs- als auch Fehlinformationspotenzial.</w:t>
      </w:r>
    </w:p>
    <w:p>
      <w:r>
        <w:rPr>
          <w:b/>
          <w:sz w:val="19"/>
        </w:rPr>
        <w:t xml:space="preserve">Übertragbarkeit: </w:t>
      </w:r>
      <w:r>
        <w:rPr>
          <w:sz w:val="19"/>
        </w:rPr>
        <w:t>48 Länder (ISSP), inklusive Deutschland; vergleichbare Sozialversicherungssysteme</w:t>
      </w:r>
    </w:p>
    <w:p>
      <w:r>
        <w:rPr>
          <w:color w:val="5A7D3A"/>
          <w:sz w:val="18"/>
        </w:rPr>
        <w:t>https://pubmed.ncbi.nlm.nih.gov/42461515/</w:t>
      </w:r>
    </w:p>
    <w:p>
      <w:pPr>
        <w:pStyle w:val="Heading1"/>
      </w:pPr>
      <w:r>
        <w:t>Aufgenommen am 26.09.2026</w:t>
      </w:r>
    </w:p>
    <w:p>
      <w:pPr>
        <w:pStyle w:val="Heading2"/>
      </w:pPr>
      <w:r>
        <w:t>Tollwutimpfung bei Kindern in Thailand: Prävention mit Kosten-Nutzen-Vorteilen</w:t>
      </w:r>
    </w:p>
    <w:p>
      <w:r>
        <w:rPr>
          <w:i/>
          <w:color w:val="666666"/>
          <w:sz w:val="18"/>
        </w:rPr>
        <w:t>Soopairin S et al.  ·  BMJ Glob Health  ·  25.09.2026  ·  PMID 42791044</w:t>
      </w:r>
    </w:p>
    <w:p>
      <w:r>
        <w:t>Entscheidungsmodell-Analyse zum Kosten-Nutzen-Verhältnis einer Tollwut-Präexpositionsprophylaxe (PrEP) plus Postexpositionsprophylaxe (PEP) versus PEP allein bei 5-Jährigen in Thailand.</w:t>
      </w:r>
    </w:p>
    <w:p>
      <w:r>
        <w:rPr>
          <w:b/>
        </w:rPr>
        <w:t xml:space="preserve">Ergebnis: </w:t>
      </w:r>
      <w:r>
        <w:t>PrEP+PEP intrakutan mit inaktiviertem Hühnerzellvakzin war kosteneffektiv mit 40.977 THB (~1.161 USD) pro qualitätsbereinigtem Lebensjahr vs. PEP allein. Jährliche Bissinzidenz war einflussreichster Parameter; Kosten-Effektivität bleib robust über weitere Parameter.</w:t>
      </w:r>
    </w:p>
    <w:p>
      <w:r>
        <w:rPr>
          <w:b/>
          <w:sz w:val="19"/>
        </w:rPr>
        <w:t xml:space="preserve">Übertragbarkeit: </w:t>
      </w:r>
      <w:r>
        <w:rPr>
          <w:sz w:val="19"/>
        </w:rPr>
        <w:t>Thailand, außereuropäisches System; Kosten-Nutzen-Befund ist methodisch übertragbar für Priorisierung in Impfprogrammen.</w:t>
      </w:r>
    </w:p>
    <w:p>
      <w:r>
        <w:rPr>
          <w:color w:val="5A7D3A"/>
          <w:sz w:val="18"/>
        </w:rPr>
        <w:t>https://pubmed.ncbi.nlm.nih.gov/42791044/</w:t>
      </w:r>
    </w:p>
    <w:p>
      <w:pPr>
        <w:pStyle w:val="Heading2"/>
      </w:pPr>
      <w:r>
        <w:t>Influenza-Impfquoten in der Praxis: Defizite bei hochwertigen Impfstoffen</w:t>
      </w:r>
    </w:p>
    <w:p>
      <w:r>
        <w:rPr>
          <w:i/>
          <w:color w:val="666666"/>
          <w:sz w:val="18"/>
        </w:rPr>
        <w:t>Amicizia D et al.  ·  Hum Vaccin Immunother  ·  25.09.2026  ·  PMID 42788870</w:t>
      </w:r>
    </w:p>
    <w:p>
      <w:r>
        <w:t>Italienische Studie zur Influenzaimpfung ≥60-Jähriger in zwei Saisons (2023/24 und 2024/25), die den Wechsel zu dezentraler Versorgung durch Apotheken und Hausärzte untersucht.</w:t>
      </w:r>
    </w:p>
    <w:p>
      <w:r>
        <w:rPr>
          <w:b/>
        </w:rPr>
        <w:t xml:space="preserve">Ergebnis: </w:t>
      </w:r>
      <w:r>
        <w:t>Gesamtquote sank um 6% zwischen den Saisons; nur 65% (2023/24) bzw. 73% (2024/25) der ≥65-Jährigen erhielten altersgerechte hochdosierte Impfstoffe. Dezentrale Versorgung steigerte zwar Erreichbarkeit, führte aber zu erheblicher Varianz bei der Impfstoffwahl und suboptimalen Plattformen bei Hochrisikogruppen.</w:t>
      </w:r>
    </w:p>
    <w:p>
      <w:r>
        <w:rPr>
          <w:b/>
          <w:sz w:val="19"/>
        </w:rPr>
        <w:t xml:space="preserve">Übertragbarkeit: </w:t>
      </w:r>
      <w:r>
        <w:rPr>
          <w:sz w:val="19"/>
        </w:rPr>
        <w:t>Italien, vergleichbares Gesundheitssystem; zeigt Hürden bei Umsetzung von Leitlinien in dezentraler Versorgung.</w:t>
      </w:r>
    </w:p>
    <w:p>
      <w:r>
        <w:rPr>
          <w:color w:val="5A7D3A"/>
          <w:sz w:val="18"/>
        </w:rPr>
        <w:t>https://pubmed.ncbi.nlm.nih.gov/42788870/</w:t>
      </w:r>
    </w:p>
    <w:p>
      <w:pPr>
        <w:pStyle w:val="Heading2"/>
      </w:pPr>
      <w:r>
        <w:t>HPV-Impfung und Krebsvorsorge in Brasilien: Pandemie-Folgen bei Ungleichheit</w:t>
      </w:r>
    </w:p>
    <w:p>
      <w:r>
        <w:rPr>
          <w:i/>
          <w:color w:val="666666"/>
          <w:sz w:val="18"/>
        </w:rPr>
        <w:t>Carvalho TS et al.  ·  Rev Inst Med Trop Sao Paulo  ·  18.09.2026  ·  PMID 42788601</w:t>
      </w:r>
    </w:p>
    <w:p>
      <w:r>
        <w:t>Ökologische Studie (2016–2021) zur Auswirkung der COVID-19-Pandemie auf HPV-Impfquoten und Pap-Abstrich-Screening in Sao Paulo State mittels öffentlicher Datenbank.</w:t>
      </w:r>
    </w:p>
    <w:p>
      <w:r>
        <w:rPr>
          <w:b/>
        </w:rPr>
        <w:t xml:space="preserve">Ergebnis: </w:t>
      </w:r>
      <w:r>
        <w:t>HPV-Impfquoten stiegen 2020, hielten aber 2021 nicht an. Pap-Abstriche sanken 2020 und erholten sich 2021 nur teilweise, besonders in Gemeinden mit niedrigen sozioökonomischen Indikatoren. Anzahl der COVID-19-Fälle war nicht stark assoziiert mit Schwankungen in Präventionsdiensten.</w:t>
      </w:r>
    </w:p>
    <w:p>
      <w:r>
        <w:rPr>
          <w:b/>
          <w:sz w:val="19"/>
        </w:rPr>
        <w:t xml:space="preserve">Übertragbarkeit: </w:t>
      </w:r>
      <w:r>
        <w:rPr>
          <w:sz w:val="19"/>
        </w:rPr>
        <w:t>Brasilien, öffentliche Gesundheitsverwaltung; zeigt Resilienz-Probleme bei integrierten Präventionsprogrammen unter Krise, besonders bei vulnerablen Bevölkerungen.</w:t>
      </w:r>
    </w:p>
    <w:p>
      <w:r>
        <w:rPr>
          <w:color w:val="5A7D3A"/>
          <w:sz w:val="18"/>
        </w:rPr>
        <w:t>https://pubmed.ncbi.nlm.nih.gov/42788601/</w:t>
      </w:r>
    </w:p>
    <w:p>
      <w:pPr>
        <w:pStyle w:val="Heading2"/>
      </w:pPr>
      <w:r>
        <w:t>Sicherheit von HPV-Impfstoffen in China: Verträglichkeit unter Alltag</w:t>
      </w:r>
    </w:p>
    <w:p>
      <w:r>
        <w:rPr>
          <w:i/>
          <w:color w:val="666666"/>
          <w:sz w:val="18"/>
        </w:rPr>
        <w:t>Xie M et al.  ·  Hum Vaccin Immunother  ·  25.09.2026  ·  PMID 42788243</w:t>
      </w:r>
    </w:p>
    <w:p>
      <w:r>
        <w:t>Postmarketing-Sicherheitsüberwachung von HPV-Impfstoffen in Shandong 2017–2025 mittels Nebenwirkungsmeldungen.</w:t>
      </w:r>
    </w:p>
    <w:p>
      <w:r>
        <w:rPr>
          <w:b/>
        </w:rPr>
        <w:t xml:space="preserve">Ergebnis: </w:t>
      </w:r>
      <w:r>
        <w:t>1.056 Meldungen bei ~13,2 Millionen Dosen (Quote 7,99 pro 100.000 Dosen); 95,46% leichte Reaktionen, 1,42% seltene unerwünschte Ereignisse (u.a. Myalgie, Induration &gt;5 cm, Immunthrombozytopenie). Sicherheitsprofil insgesamt gut.</w:t>
      </w:r>
    </w:p>
    <w:p>
      <w:r>
        <w:rPr>
          <w:b/>
          <w:sz w:val="19"/>
        </w:rPr>
        <w:t xml:space="preserve">Übertragbarkeit: </w:t>
      </w:r>
      <w:r>
        <w:rPr>
          <w:sz w:val="19"/>
        </w:rPr>
        <w:t>China, anderes Meldesystem; bestätigt gutes Sicherheitsprofil auch bei Millionenfach-Anwendung.</w:t>
      </w:r>
    </w:p>
    <w:p>
      <w:r>
        <w:rPr>
          <w:color w:val="5A7D3A"/>
          <w:sz w:val="18"/>
        </w:rPr>
        <w:t>https://pubmed.ncbi.nlm.nih.gov/42788243/</w:t>
      </w:r>
    </w:p>
    <w:p>
      <w:pPr>
        <w:pStyle w:val="Heading2"/>
      </w:pPr>
      <w:r>
        <w:t>Enterovirus-71-Impfung senkt Fallzahlen von Hand-Fuß-Mund-Krankheit</w:t>
      </w:r>
    </w:p>
    <w:p>
      <w:r>
        <w:rPr>
          <w:i/>
          <w:color w:val="666666"/>
          <w:sz w:val="18"/>
        </w:rPr>
        <w:t>Li K et al.  ·  JMIR Public Health Surveill  ·  24.09.2026  ·  PMID 42785728</w:t>
      </w:r>
    </w:p>
    <w:p>
      <w:r>
        <w:t>Überwachungsstudie (2008–2023) in Anhui, China zur Epidemiologie von Hand-Fuß-Mund-Krankheit (HFMD) nach Einführung der EV71-Impfung und während COVID-19-Pandemie.</w:t>
      </w:r>
    </w:p>
    <w:p>
      <w:r>
        <w:rPr>
          <w:b/>
        </w:rPr>
        <w:t xml:space="preserve">Ergebnis: </w:t>
      </w:r>
      <w:r>
        <w:t>Typisierte EV71-Fälle sanken von 45,8% (vor Impfung) auf 3,4% (während COVID-19); Vorhersagemodelle für 2017–2019 zeigten 470 beobachtete vs. 659 vorhergesagte EV71-Fälle 2017 (95%-PI 467–933). Gesamtlast HFMD während COVID-19 substanziell unter Prognose, Todesfälle ab 2020 keine gemeldet.</w:t>
      </w:r>
    </w:p>
    <w:p>
      <w:r>
        <w:rPr>
          <w:b/>
          <w:sz w:val="19"/>
        </w:rPr>
        <w:t xml:space="preserve">Übertragbarkeit: </w:t>
      </w:r>
      <w:r>
        <w:rPr>
          <w:sz w:val="19"/>
        </w:rPr>
        <w:t>China, Überwachungsdaten; zeigt reale Impfeffektivität bei Bevölkerungsergebnissen unter Alltagsbedingungen.</w:t>
      </w:r>
    </w:p>
    <w:p>
      <w:r>
        <w:rPr>
          <w:color w:val="5A7D3A"/>
          <w:sz w:val="18"/>
        </w:rPr>
        <w:t>https://pubmed.ncbi.nlm.nih.gov/42785728/</w:t>
      </w:r>
    </w:p>
    <w:p>
      <w:pPr>
        <w:pStyle w:val="Heading2"/>
      </w:pPr>
      <w:r>
        <w:t>COVID-19-Impfung überwindet HLA-bedingte Unterschiede in Antikörper-Breite</w:t>
      </w:r>
    </w:p>
    <w:p>
      <w:r>
        <w:rPr>
          <w:i/>
          <w:color w:val="666666"/>
          <w:sz w:val="18"/>
        </w:rPr>
        <w:t>Nguyen TTN et al.  ·  Front Immunol  ·  08.09.2026  ·  PMID 42774458</w:t>
      </w:r>
    </w:p>
    <w:p>
      <w:r>
        <w:t>Longitudinale Kohortenstudie an 189 vietnamesischen Erwachsenen vor und nach COVID-19-Impfung, mit HLA-Genotypisierung und Neutralisierungstests gegen Variants of Concern.</w:t>
      </w:r>
    </w:p>
    <w:p>
      <w:r>
        <w:rPr>
          <w:b/>
        </w:rPr>
        <w:t xml:space="preserve">Ergebnis: </w:t>
      </w:r>
      <w:r>
        <w:t>Impfung erhöhte Antikörpertiter gegen Wuhan um 132-fach und gegen Omikron 10-fach; Neutralisierungbreite erweiterte sich substanziell. HLA-Assoziationen bei Zeitpunkt 1 beobachtet, aber Impfung erwies sich als stärkster Faktor für Neutralisierungsbreite bei Monat 15 (p&lt;0,001 in multivariablen Modellen).</w:t>
      </w:r>
    </w:p>
    <w:p>
      <w:r>
        <w:rPr>
          <w:b/>
          <w:sz w:val="19"/>
        </w:rPr>
        <w:t xml:space="preserve">Übertragbarkeit: </w:t>
      </w:r>
      <w:r>
        <w:rPr>
          <w:sz w:val="19"/>
        </w:rPr>
        <w:t>Vietnam, Hybridimmunität; zeigt, dass Impfung genetische Heterogenität in Antikörper-Breite überlagert und Population-spezifische Langzeitimmunität aufbaut.</w:t>
      </w:r>
    </w:p>
    <w:p>
      <w:r>
        <w:rPr>
          <w:color w:val="5A7D3A"/>
          <w:sz w:val="18"/>
        </w:rPr>
        <w:t>https://pubmed.ncbi.nlm.nih.gov/42774458/</w:t>
      </w:r>
    </w:p>
    <w:p>
      <w:pPr>
        <w:pStyle w:val="Heading1"/>
      </w:pPr>
      <w:r>
        <w:t>Aufgenommen am 25.09.2026</w:t>
      </w:r>
    </w:p>
    <w:p>
      <w:pPr>
        <w:pStyle w:val="Heading2"/>
      </w:pPr>
      <w:r>
        <w:t>SARS-CoV-2-Impfstoffverfügbarkeit in ruralen Regionen sub-Sahara-Afrikas – systematisches Reviewprotokoll</w:t>
      </w:r>
    </w:p>
    <w:p>
      <w:r>
        <w:rPr>
          <w:i/>
          <w:color w:val="666666"/>
          <w:sz w:val="18"/>
        </w:rPr>
        <w:t>Nyangi E et al.  ·  BMJ Open  ·  24.09.2026  ·  PMID 42785944</w:t>
      </w:r>
    </w:p>
    <w:p>
      <w:r>
        <w:t>Systematisches Reviewprotokoll zu Verfügbarkeit und Erreichbarkeit von COVID-19-Impfstoffen bei ruraler Bevölkerung in sub-Sahara-Afrika (Suche Oktober 2025–Oktober 2027).</w:t>
      </w:r>
    </w:p>
    <w:p>
      <w:r>
        <w:rPr>
          <w:b/>
        </w:rPr>
        <w:t xml:space="preserve">Ergebnis: </w:t>
      </w:r>
      <w:r>
        <w:t>Systematisches Review und Meta-Analyse in Planung; quantitative Befunde werden mit Modell mit Zufallseffekten gepoolt, qualitative Befunde thematisch synthetisiert. Schwerpunkt: strukturelle Barrieren, schwache Gesundheitssysteme, Ressourcenmangel.</w:t>
      </w:r>
    </w:p>
    <w:p>
      <w:r>
        <w:rPr>
          <w:b/>
          <w:sz w:val="19"/>
        </w:rPr>
        <w:t xml:space="preserve">Übertragbarkeit: </w:t>
      </w:r>
      <w:r>
        <w:rPr>
          <w:sz w:val="19"/>
        </w:rPr>
        <w:t>Sub-Sahara-Afrika, methodisch relevant für Reichweitenanalysen, aber Ressourcenlage sehr unterschiedlich</w:t>
      </w:r>
    </w:p>
    <w:p>
      <w:r>
        <w:rPr>
          <w:color w:val="5A7D3A"/>
          <w:sz w:val="18"/>
        </w:rPr>
        <w:t>https://pubmed.ncbi.nlm.nih.gov/42785944/</w:t>
      </w:r>
    </w:p>
    <w:p>
      <w:pPr>
        <w:pStyle w:val="Heading2"/>
      </w:pPr>
      <w:r>
        <w:t>Kostenloses Grippeimpfangebot erhöht Impfquote und psychisches Wohlbefinden älterer Menschen</w:t>
      </w:r>
    </w:p>
    <w:p>
      <w:r>
        <w:rPr>
          <w:i/>
          <w:color w:val="666666"/>
          <w:sz w:val="18"/>
        </w:rPr>
        <w:t>Wang Y  ·  Front Public Health  ·  09.09.2026  ·  PMID 42780378</w:t>
      </w:r>
    </w:p>
    <w:p>
      <w:r>
        <w:t>Chinesische Differenz-in-Differenzen-Analyse zur Wirkung einer kostenlosen Grippeimpfpolitik für die Bevölkerung ab 60 Jahren auf Impfquoten und Gesundheit.</w:t>
      </w:r>
    </w:p>
    <w:p>
      <w:r>
        <w:rPr>
          <w:b/>
        </w:rPr>
        <w:t xml:space="preserve">Ergebnis: </w:t>
      </w:r>
      <w:r>
        <w:t>Die Impfquote stieg um 23 Prozentpunkte. Die Wahrscheinlichkeit, dass gesundheitliche Probleme die täglichen Aktivitäten einschränken, sank um 16,9 Prozentpunkte; das Gefühl von Energie stieg um 28,1 Prozentpunkte. Der Effekt funktioniert über Verhaltenspfade, nicht nur biologisch.</w:t>
      </w:r>
    </w:p>
    <w:p>
      <w:r>
        <w:rPr>
          <w:b/>
          <w:sz w:val="19"/>
        </w:rPr>
        <w:t xml:space="preserve">Übertragbarkeit: </w:t>
      </w:r>
      <w:r>
        <w:rPr>
          <w:sz w:val="19"/>
        </w:rPr>
        <w:t>China, aber Versorgungsfrage (Kostenfreiheit und Quote) übertragbar auf Deutschland-Diskussionen zur Impffinanzierung</w:t>
      </w:r>
    </w:p>
    <w:p>
      <w:r>
        <w:rPr>
          <w:color w:val="5A7D3A"/>
          <w:sz w:val="18"/>
        </w:rPr>
        <w:t>https://pubmed.ncbi.nlm.nih.gov/42780378/</w:t>
      </w:r>
    </w:p>
    <w:p>
      <w:pPr>
        <w:pStyle w:val="Heading2"/>
      </w:pPr>
      <w:r>
        <w:t>Impfwissen und Eigenimpfung prägen Impfempfehlung durch Gesundheitspersonal</w:t>
      </w:r>
    </w:p>
    <w:p>
      <w:r>
        <w:rPr>
          <w:i/>
          <w:color w:val="666666"/>
          <w:sz w:val="18"/>
        </w:rPr>
        <w:t>Shi H et al.  ·  Front Public Health  ·  09.09.2026  ·  PMID 42780248</w:t>
      </w:r>
    </w:p>
    <w:p>
      <w:r>
        <w:t>Querschnittstudie zu Pfad zwischen Grippeimpfwissen, Eigenimpfung, zukünftiger Impfbereitschaft und Empfehlungsverhalten bei 4.238 Beschäftigten im Gesundheitswesen in Beijing.</w:t>
      </w:r>
    </w:p>
    <w:p>
      <w:r>
        <w:rPr>
          <w:b/>
        </w:rPr>
        <w:t xml:space="preserve">Ergebnis: </w:t>
      </w:r>
      <w:r>
        <w:t>22,1 % waren aktuell geimpft, 43,7 % wollten sich nächste Saison impfen, 82,0 % empfahlen Impfung Patienten. Impfwissen korrelierte mit Impfquote (β = 0,09, p &lt; 0,001); Eigenimpfung vorhersagend für zukünftige Impfbereitschaft (β = 0,47); zukünftige Bereitschaft stärkster Prädiktor für Empfehlung (β = 0,41, p &lt; 0,001).</w:t>
      </w:r>
    </w:p>
    <w:p>
      <w:r>
        <w:rPr>
          <w:b/>
          <w:sz w:val="19"/>
        </w:rPr>
        <w:t xml:space="preserve">Übertragbarkeit: </w:t>
      </w:r>
      <w:r>
        <w:rPr>
          <w:sz w:val="19"/>
        </w:rPr>
        <w:t>China, aber Pfadmodell (Wissen → Verhalten → Empfehlung) systemübergreifend relevant</w:t>
      </w:r>
    </w:p>
    <w:p>
      <w:r>
        <w:rPr>
          <w:color w:val="5A7D3A"/>
          <w:sz w:val="18"/>
        </w:rPr>
        <w:t>https://pubmed.ncbi.nlm.nih.gov/42780248/</w:t>
      </w:r>
    </w:p>
    <w:p>
      <w:pPr>
        <w:pStyle w:val="Heading2"/>
      </w:pPr>
      <w:r>
        <w:t>Impflücken bei Flüchtlingen und Migranten in Uganda: Systematische Analyse von Barrieren und Lösungen</w:t>
      </w:r>
    </w:p>
    <w:p>
      <w:r>
        <w:rPr>
          <w:i/>
          <w:color w:val="666666"/>
          <w:sz w:val="18"/>
        </w:rPr>
        <w:t>Nakachwa SM et al.  ·  Glob Public Health  ·  31.12.2026  ·  PMID 42776600</w:t>
      </w:r>
    </w:p>
    <w:p>
      <w:r>
        <w:t>Narrative Review zu Impfquoten, Barrieren und Maßnahmen bei Flüchtlingen und Migranten in Uganda bis September 2025.</w:t>
      </w:r>
    </w:p>
    <w:p>
      <w:r>
        <w:rPr>
          <w:b/>
        </w:rPr>
        <w:t xml:space="preserve">Ergebnis: </w:t>
      </w:r>
      <w:r>
        <w:t>Flüchtlings-Impfquoten unter nationalen Durchschnitten durch administrative Hürden, Engpässe, Entfernungen, Sprachhindernisse und Desinformation. Erfolgreiche Ansätze: Integration in nationale Systeme, vereinfachte Registrierung, mobile Angebote, Gemeindegesundheitspersonal, grenzübergreifende Datenkoordination.</w:t>
      </w:r>
    </w:p>
    <w:p>
      <w:r>
        <w:rPr>
          <w:b/>
          <w:sz w:val="19"/>
        </w:rPr>
        <w:t xml:space="preserve">Übertragbarkeit: </w:t>
      </w:r>
      <w:r>
        <w:rPr>
          <w:sz w:val="19"/>
        </w:rPr>
        <w:t>Uganda, aber Barrieren und Strategien (mobil, registrierungsarmut) für vulnerable Gruppen übertragbar</w:t>
      </w:r>
    </w:p>
    <w:p>
      <w:r>
        <w:rPr>
          <w:color w:val="5A7D3A"/>
          <w:sz w:val="18"/>
        </w:rPr>
        <w:t>https://pubmed.ncbi.nlm.nih.gov/42776600/</w:t>
      </w:r>
    </w:p>
    <w:p>
      <w:pPr>
        <w:pStyle w:val="Heading2"/>
      </w:pPr>
      <w:r>
        <w:t>Grippeimpfquote bei Fachpersonen in Guangzhou: Unterschiede nach Arbeitsstätte und Wissenstyp</w:t>
      </w:r>
    </w:p>
    <w:p>
      <w:r>
        <w:rPr>
          <w:i/>
          <w:color w:val="666666"/>
          <w:sz w:val="18"/>
        </w:rPr>
        <w:t>Lin D et al.  ·  Expert Rev Vaccines  ·  23.09.2026  ·  PMID 42775460</w:t>
      </w:r>
    </w:p>
    <w:p>
      <w:r>
        <w:t>Querschnittstudie unter 3.153 Gesundheitsfachleuten in Grundversorgung, Krankenhäusern und Schulen zur Grippeimpfquote und Empfehlungsverhalten.</w:t>
      </w:r>
    </w:p>
    <w:p>
      <w:r>
        <w:rPr>
          <w:b/>
        </w:rPr>
        <w:t xml:space="preserve">Ergebnis: </w:t>
      </w:r>
      <w:r>
        <w:t>46,2 % waren mindestens in einer der letzten vier Saisons geimpft, durchschnittliche saisonale Quote 28,2 %. Öffentlichkeitsgesundheit: OR 2,53, Schulgesundheit: OR 0,64 vs. Ärzte. Impfstoffwissen positiv assoziiert mit Impfung (OR 1,09) und Empfehlungsverhalten (OR 1,11).</w:t>
      </w:r>
    </w:p>
    <w:p>
      <w:r>
        <w:rPr>
          <w:b/>
          <w:sz w:val="19"/>
        </w:rPr>
        <w:t xml:space="preserve">Übertragbarkeit: </w:t>
      </w:r>
      <w:r>
        <w:rPr>
          <w:sz w:val="19"/>
        </w:rPr>
        <w:t>China, aber Versorgungsmuster (Quote nach Berufsgruppe) international vergleichbar</w:t>
      </w:r>
    </w:p>
    <w:p>
      <w:r>
        <w:rPr>
          <w:color w:val="5A7D3A"/>
          <w:sz w:val="18"/>
        </w:rPr>
        <w:t>https://pubmed.ncbi.nlm.nih.gov/42775460/</w:t>
      </w:r>
    </w:p>
    <w:p>
      <w:pPr>
        <w:pStyle w:val="Heading2"/>
      </w:pPr>
      <w:r>
        <w:t>HPV-Impfung und HPV-Screening kombiniert für vulnerable Frauen in Europa – Implementierungsprotokoll</w:t>
      </w:r>
    </w:p>
    <w:p>
      <w:r>
        <w:rPr>
          <w:i/>
          <w:color w:val="666666"/>
          <w:sz w:val="18"/>
        </w:rPr>
        <w:t>Mosquera I et al.  ·  Cancer Control  ·  02.09.2026  ·  PMID 42683830</w:t>
      </w:r>
    </w:p>
    <w:p>
      <w:r>
        <w:t>Implementierungsstudienprotokoll zur Kapazität von Gesundheitssystemen, HPV-Impfung und HPV-basiertes Screening kombiniert für vulnerable Gruppen (25–45 Jahre) in Spanien, Schweden, Dänemark, Rumänien und Frankreich anzubieten.</w:t>
      </w:r>
    </w:p>
    <w:p>
      <w:r>
        <w:rPr>
          <w:b/>
        </w:rPr>
        <w:t xml:space="preserve">Ergebnis: </w:t>
      </w:r>
      <w:r>
        <w:t>Protokoll umfasst Schreibtischreview, Vor-Ort-Prüfungen und Stakeholder-Interviews. Ziel: Systemkapazität messen und Strategien zur HPV-Schneller-Elimination in Europa tailoriert stärken. Studie läuft.</w:t>
      </w:r>
    </w:p>
    <w:p>
      <w:r>
        <w:rPr>
          <w:b/>
          <w:sz w:val="19"/>
        </w:rPr>
        <w:t xml:space="preserve">Übertragbarkeit: </w:t>
      </w:r>
      <w:r>
        <w:rPr>
          <w:sz w:val="19"/>
        </w:rPr>
        <w:t>Mehrere europäische Länder (DACH-nahes System), vergleichbare nationale Gesundheitssysteme</w:t>
      </w:r>
    </w:p>
    <w:p>
      <w:r>
        <w:rPr>
          <w:color w:val="5A7D3A"/>
          <w:sz w:val="18"/>
        </w:rPr>
        <w:t>https://pubmed.ncbi.nlm.nih.gov/42683830/</w:t>
      </w:r>
    </w:p>
    <w:p>
      <w:pPr>
        <w:pStyle w:val="Heading1"/>
      </w:pPr>
      <w:r>
        <w:t>Aufgenommen am 24.09.2026</w:t>
      </w:r>
    </w:p>
    <w:p>
      <w:pPr>
        <w:pStyle w:val="Heading2"/>
      </w:pPr>
      <w:r>
        <w:t>COVID-19-Impfung: Alter und Bildung bestimmen Annahme in Ostpolen stärker als Lebensstil</w:t>
      </w:r>
    </w:p>
    <w:p>
      <w:r>
        <w:rPr>
          <w:i/>
          <w:color w:val="666666"/>
          <w:sz w:val="18"/>
        </w:rPr>
        <w:t>Karczmarz S et al.  ·  Med Sci Monit  ·  23.09.2026  ·  PMID 42776929</w:t>
      </w:r>
    </w:p>
    <w:p>
      <w:r>
        <w:t>Querschnittsstudie an 458 Primärversorgungspatienten in Polen untersuchte, welche Faktoren mit vollständiger COVID-19-Impfung assoziiert sind.</w:t>
      </w:r>
    </w:p>
    <w:p>
      <w:r>
        <w:rPr>
          <w:b/>
        </w:rPr>
        <w:t xml:space="preserve">Ergebnis: </w:t>
      </w:r>
      <w:r>
        <w:t>Vollständige Impfung war assoziiert mit höherem Alter, höherer Bildung und Rentnerstatus; ländlicher Wohnort zeigte unerwartet höhere Impfquote als urban; Lifestyle-Profile zeigten keine konsistente unabhängige Assoziation mit Impfstatus.</w:t>
      </w:r>
    </w:p>
    <w:p>
      <w:r>
        <w:rPr>
          <w:b/>
          <w:sz w:val="19"/>
        </w:rPr>
        <w:t xml:space="preserve">Übertragbarkeit: </w:t>
      </w:r>
      <w:r>
        <w:rPr>
          <w:sz w:val="19"/>
        </w:rPr>
        <w:t>Polen, vergleichbares Versicherungssystem, dokumentiert Rollen von Zugang und Vertrauen</w:t>
      </w:r>
    </w:p>
    <w:p>
      <w:r>
        <w:rPr>
          <w:color w:val="5A7D3A"/>
          <w:sz w:val="18"/>
        </w:rPr>
        <w:t>https://pubmed.ncbi.nlm.nih.gov/42776929/</w:t>
      </w:r>
    </w:p>
    <w:p>
      <w:pPr>
        <w:pStyle w:val="Heading2"/>
      </w:pPr>
      <w:r>
        <w:t>Moderate bis hohe körperliche Aktivität verstärkt COVID-19-Antikörperreaktion unmittelbar nach Impfung</w:t>
      </w:r>
    </w:p>
    <w:p>
      <w:r>
        <w:rPr>
          <w:i/>
          <w:color w:val="666666"/>
          <w:sz w:val="18"/>
        </w:rPr>
        <w:t>Voulgaridi I et al.  ·  Front Public Health  ·  08.09.2026  ·  PMID 42774463</w:t>
      </w:r>
    </w:p>
    <w:p>
      <w:r>
        <w:t>Längsschnitt-Kohortenstudie mit 641 Erwachsenen untersuchte Assoziation zwischen Bewegungsaktivität und Anti-SARS-CoV-2-IgG/IgA-Antikörpern an den Tagen 21, 42, 90 und 180 nach COVID-19-Impfung.</w:t>
      </w:r>
    </w:p>
    <w:p>
      <w:r>
        <w:rPr>
          <w:b/>
        </w:rPr>
        <w:t xml:space="preserve">Ergebnis: </w:t>
      </w:r>
      <w:r>
        <w:t>IgG-Seropositividät an Tag 21 war höher bei moderater (92,6%) oder hoher (97,0%) Aktivität als bei niedriger (70,4%, p&lt;0,001); älteres Alter mit reduzierten IgG-Titern assoziiert (alle Zeitpunkte p&lt;0,001); Komorbidität mit niedrigeren Titern verknüpft.</w:t>
      </w:r>
    </w:p>
    <w:p>
      <w:r>
        <w:rPr>
          <w:b/>
          <w:sz w:val="19"/>
        </w:rPr>
        <w:t xml:space="preserve">Übertragbarkeit: </w:t>
      </w:r>
      <w:r>
        <w:rPr>
          <w:sz w:val="19"/>
        </w:rPr>
        <w:t>Griechenland, europäisches Gesundheitssystem, vergleichbare Impfprogramme</w:t>
      </w:r>
    </w:p>
    <w:p>
      <w:r>
        <w:rPr>
          <w:color w:val="5A7D3A"/>
          <w:sz w:val="18"/>
        </w:rPr>
        <w:t>https://pubmed.ncbi.nlm.nih.gov/42774463/</w:t>
      </w:r>
    </w:p>
    <w:p>
      <w:pPr>
        <w:pStyle w:val="Heading2"/>
      </w:pPr>
      <w:r>
        <w:t>Tdap-Sicherheit im VAERS-Register: Radiculitis bei Frauen erhöht, aber Schwangerschaft und Alter unbedenklich</w:t>
      </w:r>
    </w:p>
    <w:p>
      <w:r>
        <w:rPr>
          <w:i/>
          <w:color w:val="666666"/>
          <w:sz w:val="18"/>
        </w:rPr>
        <w:t>Song W et al.  ·  Front Cell Infect Microbiol  ·  08.09.2026  ·  PMID 42774241</w:t>
      </w:r>
    </w:p>
    <w:p>
      <w:r>
        <w:t>Post-Marketing-Surveillance von 20.128 VAERS-Meldungen zu Tdap (2015–2025) mit Disproportionalitätsanalyse nach Alter, Geschlecht und Schwangerschaftsstatus.</w:t>
      </w:r>
    </w:p>
    <w:p>
      <w:r>
        <w:rPr>
          <w:b/>
        </w:rPr>
        <w:t xml:space="preserve">Ergebnis: </w:t>
      </w:r>
      <w:r>
        <w:t>95,8% nicht-schwerwiegende Fälle; häufigste Signale: Injektionsstelle Erythem und Ödem; 70,3% Ereignisse innerhalb 1 Tag; bei Schwangeren (n=744): keine unerwarteten Sicherheitssignale; Adoleszenten: Opisthotonus erhöht (ROR=8,55); nicht-schwangere Frauen: Brachialradiculitis (ROR=14,42) und Bursa-Flüssigkeitsansammlung (ROR=21,22) erhöht.</w:t>
      </w:r>
    </w:p>
    <w:p>
      <w:r>
        <w:rPr>
          <w:b/>
          <w:sz w:val="19"/>
        </w:rPr>
        <w:t xml:space="preserve">Übertragbarkeit: </w:t>
      </w:r>
      <w:r>
        <w:rPr>
          <w:sz w:val="19"/>
        </w:rPr>
        <w:t>USA-VAERS-Daten, aber Pharmakovigilanz-Methode international verwendbar</w:t>
      </w:r>
    </w:p>
    <w:p>
      <w:r>
        <w:rPr>
          <w:color w:val="5A7D3A"/>
          <w:sz w:val="18"/>
        </w:rPr>
        <w:t>https://pubmed.ncbi.nlm.nih.gov/42774241/</w:t>
      </w:r>
    </w:p>
    <w:p>
      <w:pPr>
        <w:pStyle w:val="Heading2"/>
      </w:pPr>
      <w:r>
        <w:t>HPV16/18-Antikörper-Überwachung: Neutralisierungstest, cCLIA und IgG im Vergleich für Impfquoten-Monitoring</w:t>
      </w:r>
    </w:p>
    <w:p>
      <w:r>
        <w:rPr>
          <w:i/>
          <w:color w:val="666666"/>
          <w:sz w:val="18"/>
        </w:rPr>
        <w:t>Mao W et al.  ·  Front Immunol  ·  08.09.2026  ·  PMID 42774225</w:t>
      </w:r>
    </w:p>
    <w:p>
      <w:r>
        <w:t>Querschnitt- und Längsschnittstudie mit vollständig Geimpften und Ungeimpften verglich drei serologische Assays (Pseudovirionen-Neutralisierung, kompetitiver Chemilumineszenz-Immunoassay, indirekte IgG) für HPV16/18-Antikörper-Nachweis nach Vakzination.</w:t>
      </w:r>
    </w:p>
    <w:p>
      <w:r>
        <w:rPr>
          <w:b/>
        </w:rPr>
        <w:t xml:space="preserve">Ergebnis: </w:t>
      </w:r>
      <w:r>
        <w:t>Alle drei Assays reflektierten Impfantwort-Trends; cCLIA stabiler gegenüber Neutralisierungstest als IgG-Assay, besonders longitudinal und nach 2. Dosis; IgG zeigte niedrigere Stabilität für funktionale Klassifikation, aber konsistente Erfassung von Bevölkerungs-Reaktionen; persistente numerische Unterschiede bedeuten Assays nicht direkt austauschbar.</w:t>
      </w:r>
    </w:p>
    <w:p>
      <w:r>
        <w:rPr>
          <w:b/>
          <w:sz w:val="19"/>
        </w:rPr>
        <w:t xml:space="preserve">Übertragbarkeit: </w:t>
      </w:r>
      <w:r>
        <w:rPr>
          <w:sz w:val="19"/>
        </w:rPr>
        <w:t>China, aber Assay-Vergleich für HPV-Monitoring-Strategien europaweit relevant</w:t>
      </w:r>
    </w:p>
    <w:p>
      <w:r>
        <w:rPr>
          <w:color w:val="5A7D3A"/>
          <w:sz w:val="18"/>
        </w:rPr>
        <w:t>https://pubmed.ncbi.nlm.nih.gov/42774225/</w:t>
      </w:r>
    </w:p>
    <w:p>
      <w:pPr>
        <w:pStyle w:val="Heading2"/>
      </w:pPr>
      <w:r>
        <w:t>Hochdosis-Grippeimpfstoff für gebrechliche Ältere – Effektivität variiert nach Frailty-Risiko</w:t>
      </w:r>
    </w:p>
    <w:p>
      <w:r>
        <w:rPr>
          <w:i/>
          <w:color w:val="666666"/>
          <w:sz w:val="18"/>
        </w:rPr>
        <w:t>Espersen C et al.  ·  Lancet Healthy Longev  ·  17.09.2026  ·  PMID 42753782</w:t>
      </w:r>
    </w:p>
    <w:p>
      <w:r>
        <w:t>Prespecified Analyse der DANFLU-2-Studie mit 332.438 Personen ≥65 Jahren aus Dänemark verglich Hochdosis- vs. Standarddosis-Influenzavakzin nach Gebrechlichkeitsrisiko bezüglich Hospitalisierungen.</w:t>
      </w:r>
    </w:p>
    <w:p>
      <w:r>
        <w:rPr>
          <w:b/>
        </w:rPr>
        <w:t xml:space="preserve">Ergebnis: </w:t>
      </w:r>
      <w:r>
        <w:t>Bei niedriger Gebrechlichkeit: relative Vakzin-Effektivität (HD vs. SD) 0,2% (95% KI −10,8–10,2); bei mittlerer: 13,1% (−0,4–24,8); bei hoher: 19,9% (−10,3–42,1). Höhere Effektivitätsgewinne mit steigendem Gebrechlichkeitsrisiko, aber 95%-KIs überschreiten Null; Effekt-Modifikation nicht signifikant in vorgegebenen Kategorien.</w:t>
      </w:r>
    </w:p>
    <w:p>
      <w:r>
        <w:rPr>
          <w:b/>
          <w:sz w:val="19"/>
        </w:rPr>
        <w:t xml:space="preserve">Übertragbarkeit: </w:t>
      </w:r>
      <w:r>
        <w:rPr>
          <w:sz w:val="19"/>
        </w:rPr>
        <w:t>Dänemark, vergleichbares skandinavisches System mit Register und Krankenhausdaten</w:t>
      </w:r>
    </w:p>
    <w:p>
      <w:r>
        <w:rPr>
          <w:color w:val="5A7D3A"/>
          <w:sz w:val="18"/>
        </w:rPr>
        <w:t>https://pubmed.ncbi.nlm.nih.gov/42753782/</w:t>
      </w:r>
    </w:p>
    <w:p>
      <w:pPr>
        <w:pStyle w:val="Heading2"/>
      </w:pPr>
      <w:r>
        <w:t>Langzeitkomplikationen nach CAR-T-Zelltherapie: Infektionen und Sekundärmalignome überwiegen</w:t>
      </w:r>
    </w:p>
    <w:p>
      <w:r>
        <w:rPr>
          <w:i/>
          <w:color w:val="666666"/>
          <w:sz w:val="18"/>
        </w:rPr>
        <w:t>Eisenmann M et al.  ·  Curr Oncol  ·  01.08.2026  ·  PMID 42645366</w:t>
      </w:r>
    </w:p>
    <w:p>
      <w:r>
        <w:t>Scoping Review von 18 Primärstudien (2018 an) zu späten Nebenwirkungen (≥12 Monate nach Infusion) bei Patienten mit EMA-zugelassenen CAR-T-Produkten.</w:t>
      </w:r>
    </w:p>
    <w:p>
      <w:r>
        <w:rPr>
          <w:b/>
        </w:rPr>
        <w:t xml:space="preserve">Ergebnis: </w:t>
      </w:r>
      <w:r>
        <w:t>Spätkomplikationen konzentrierten sich auf Infektionen und Sekundärmalignome; Nicht-Rückfall-Mortalität in 7 Studien berichtet, Infektionen und Sekundärmalignome häufig als Todesursachen genannt; systematische Übersichtsarbeit ohne neue Ziffern, aber klare Kategorisierung der Evidenz.</w:t>
      </w:r>
    </w:p>
    <w:p>
      <w:r>
        <w:rPr>
          <w:b/>
          <w:sz w:val="19"/>
        </w:rPr>
        <w:t xml:space="preserve">Übertragbarkeit: </w:t>
      </w:r>
      <w:r>
        <w:rPr>
          <w:sz w:val="19"/>
        </w:rPr>
        <w:t>Europa, EMA-Daten, aber Übersicht ohne neue empirische Effekte – nur für Systemwissen</w:t>
      </w:r>
    </w:p>
    <w:p>
      <w:r>
        <w:rPr>
          <w:color w:val="5A7D3A"/>
          <w:sz w:val="18"/>
        </w:rPr>
        <w:t>https://pubmed.ncbi.nlm.nih.gov/42645366/</w:t>
      </w:r>
    </w:p>
    <w:p>
      <w:pPr>
        <w:pStyle w:val="Heading1"/>
      </w:pPr>
      <w:r>
        <w:t>Aufgenommen am 23.09.2026</w:t>
      </w:r>
    </w:p>
    <w:p>
      <w:pPr>
        <w:pStyle w:val="Heading2"/>
      </w:pPr>
      <w:r>
        <w:t>Impfkettenmanagement in koreanischen Gesundheitseinrichtungen: Defizite bei Temperaturüberwachung und Notstrom</w:t>
      </w:r>
    </w:p>
    <w:p>
      <w:r>
        <w:rPr>
          <w:i/>
          <w:color w:val="666666"/>
          <w:sz w:val="18"/>
        </w:rPr>
        <w:t>Kang CR et al.  ·  J Korean Med Sci  ·  21.09.2026  ·  PMID 42773072</w:t>
      </w:r>
    </w:p>
    <w:p>
      <w:r>
        <w:t>Nationale Querschnittserhebung zur Evaluierung der Impfkühllager-Praktiken in 53 südkoreanischen Immunisierungsanbietern (43 private Einrichtungen, 10 öffentliche Gesundheitszentren).</w:t>
      </w:r>
    </w:p>
    <w:p>
      <w:r>
        <w:rPr>
          <w:b/>
        </w:rPr>
        <w:t xml:space="preserve">Ergebnis: </w:t>
      </w:r>
      <w:r>
        <w:t>Alle Einrichtungen hatten dedizierte Impfkühlschränke (100 %), aber nur 73,6 % kontinuierliche Temperaturüberwachung auf allen Geräten; Alarmsysteme in 83,0 %; Notfallpläne in 52,8 %, regelmäßig getestet nur 40,9 %. Dokumentation und Entsorgung erfolgten regelkonform, aber Infrastruktur-Sicherheit ist lückenhaft.</w:t>
      </w:r>
    </w:p>
    <w:p>
      <w:r>
        <w:rPr>
          <w:b/>
          <w:sz w:val="19"/>
        </w:rPr>
        <w:t xml:space="preserve">Übertragbarkeit: </w:t>
      </w:r>
      <w:r>
        <w:rPr>
          <w:sz w:val="19"/>
        </w:rPr>
        <w:t>Südkorea, vergleichbare Infrastruktur-Herausforderungen, nicht direktes Deutschland-Modell</w:t>
      </w:r>
    </w:p>
    <w:p>
      <w:r>
        <w:rPr>
          <w:color w:val="5A7D3A"/>
          <w:sz w:val="18"/>
        </w:rPr>
        <w:t>https://pubmed.ncbi.nlm.nih.gov/42773072/</w:t>
      </w:r>
    </w:p>
    <w:p>
      <w:pPr>
        <w:pStyle w:val="Heading2"/>
      </w:pPr>
      <w:r>
        <w:t>COVID-19-Impfeffektivität: Test-negativ vs. Kohortenstudien liefern vergleichbare Ergebnisse</w:t>
      </w:r>
    </w:p>
    <w:p>
      <w:r>
        <w:rPr>
          <w:i/>
          <w:color w:val="666666"/>
          <w:sz w:val="18"/>
        </w:rPr>
        <w:t>Sukik L et al.  ·  Int J Epidemiol  ·  18.08.2026  ·  PMID 42772774</w:t>
      </w:r>
    </w:p>
    <w:p>
      <w:r>
        <w:t>Direkter Methodenvergleich: Test-negativ-Fall-Kontroll- vs. retrospektive Kohortenstudien zur COVID-19-Impfeffektivität in Katar mit identischer Population und Datenquelle.</w:t>
      </w:r>
    </w:p>
    <w:p>
      <w:r>
        <w:rPr>
          <w:b/>
        </w:rPr>
        <w:t xml:space="preserve">Ergebnis: </w:t>
      </w:r>
      <w:r>
        <w:t>BNT162b2-Effektivität gegen Infektion im Test-negativ-Design 71,0 % vs. Kohorten-Design 78,0 % (nach Korrektur für Testrate); gegen schwere COVID-19 96,3 % vs. 98,0 %. Beide Designs zeigten ähnliche Wirksamkeitsverluste. Methodische Unterschiede sind kleiner als erwartet.</w:t>
      </w:r>
    </w:p>
    <w:p>
      <w:r>
        <w:rPr>
          <w:b/>
          <w:sz w:val="19"/>
        </w:rPr>
        <w:t xml:space="preserve">Übertragbarkeit: </w:t>
      </w:r>
      <w:r>
        <w:rPr>
          <w:sz w:val="19"/>
        </w:rPr>
        <w:t>Katar (nicht Deutschland), aber Methodenvergleich für alle Impfstoff-Studien übertragbar</w:t>
      </w:r>
    </w:p>
    <w:p>
      <w:r>
        <w:rPr>
          <w:color w:val="5A7D3A"/>
          <w:sz w:val="18"/>
        </w:rPr>
        <w:t>https://pubmed.ncbi.nlm.nih.gov/42772774/</w:t>
      </w:r>
    </w:p>
    <w:p>
      <w:pPr>
        <w:pStyle w:val="Heading2"/>
      </w:pPr>
      <w:r>
        <w:t>WHO-Einfachdosis-Empfehlung für HPV-Impfung erhöhte Ländereinführungen um 22 weitere Länder</w:t>
      </w:r>
    </w:p>
    <w:p>
      <w:r>
        <w:rPr>
          <w:i/>
          <w:color w:val="666666"/>
          <w:sz w:val="18"/>
        </w:rPr>
        <w:t>Suh J et al.  ·  Expert Rev Vaccines  ·  22.09.2026  ·  PMID 42770688</w:t>
      </w:r>
    </w:p>
    <w:p>
      <w:r>
        <w:t>Analyse von Einflussfaktoren auf nationale HPV-Impfstoff-Einführungsraten in Ländern mit niedrigem und mittlerem Einkommen 2006–2025 mittels GLM und Changepoint-Analyse.</w:t>
      </w:r>
    </w:p>
    <w:p>
      <w:r>
        <w:rPr>
          <w:b/>
        </w:rPr>
        <w:t xml:space="preserve">Ergebnis: </w:t>
      </w:r>
      <w:r>
        <w:t>WHO-Einfachdosis-Empfehlung 2022 war der stärkste assoziierte Faktor; Gavi-Finanzierungserweiterung (2017–2025) auch bedeutsam. Modellprognosen: 22,46 zusätzliche nationale HPV-Impfstoff-Einführungen in LMIC allein durch die Einfachdosis-Empfehlung. Signifikanter Anstieg 2022.</w:t>
      </w:r>
    </w:p>
    <w:p>
      <w:r>
        <w:rPr>
          <w:b/>
          <w:sz w:val="19"/>
        </w:rPr>
        <w:t xml:space="preserve">Übertragbarkeit: </w:t>
      </w:r>
      <w:r>
        <w:rPr>
          <w:sz w:val="19"/>
        </w:rPr>
        <w:t>Globale Politikanalyse, zeigt Hebel für Impfprogramme weltweit, nicht Deutschland-spezifisch</w:t>
      </w:r>
    </w:p>
    <w:p>
      <w:r>
        <w:rPr>
          <w:color w:val="5A7D3A"/>
          <w:sz w:val="18"/>
        </w:rPr>
        <w:t>https://pubmed.ncbi.nlm.nih.gov/42770688/</w:t>
      </w:r>
    </w:p>
    <w:p>
      <w:pPr>
        <w:pStyle w:val="Heading2"/>
      </w:pPr>
      <w:r>
        <w:t>Impfablehnung in der Türkei: Eltern und Gesundheitspersonal berichten von Vertrauenskrise</w:t>
      </w:r>
    </w:p>
    <w:p>
      <w:r>
        <w:rPr>
          <w:i/>
          <w:color w:val="666666"/>
          <w:sz w:val="18"/>
        </w:rPr>
        <w:t>Sezer E et al.  ·  Front Public Health  ·  07.09.2026  ·  PMID 42769268</w:t>
      </w:r>
    </w:p>
    <w:p>
      <w:r>
        <w:t>Qualitative Studie mit 19 impfablehnenden Eltern und 21 Fachpersonen (Ärzte, Hebammen) zur Erkundung von Gründen und strukturellen Barrieren für Impfverweigerung in der Türkei 2017.</w:t>
      </w:r>
    </w:p>
    <w:p>
      <w:r>
        <w:rPr>
          <w:b/>
        </w:rPr>
        <w:t xml:space="preserve">Ergebnis: </w:t>
      </w:r>
      <w:r>
        <w:t>Vier zentrale ethische Spannungsfelder: (1) Lücke zwischen informierter Ablehnung und uninformierter Wahl durch Informationsasymmetrie; (2) Vertrauenskrise in Gesundheitsinstitutionen durch leistungsbasierte Bezahlung von Ärzten; (3) Konflikt zwischen religiöser und medizinischer Autorität; (4) angefochtene elterliche Autonomie in patriarchalen Strukturen. Leistungsbezahlte Ärzte dokumentieren lieber, als dass sie Gespräche führen.</w:t>
      </w:r>
    </w:p>
    <w:p>
      <w:r>
        <w:rPr>
          <w:b/>
          <w:sz w:val="19"/>
        </w:rPr>
        <w:t xml:space="preserve">Übertragbarkeit: </w:t>
      </w:r>
      <w:r>
        <w:rPr>
          <w:sz w:val="19"/>
        </w:rPr>
        <w:t>Türkei (LMIC), strukturelle Probleme aber in allen Systemen mit Leistungsvergütung relevant</w:t>
      </w:r>
    </w:p>
    <w:p>
      <w:r>
        <w:rPr>
          <w:color w:val="5A7D3A"/>
          <w:sz w:val="18"/>
        </w:rPr>
        <w:t>https://pubmed.ncbi.nlm.nih.gov/42769268/</w:t>
      </w:r>
    </w:p>
    <w:p>
      <w:pPr>
        <w:pStyle w:val="Heading2"/>
      </w:pPr>
      <w:r>
        <w:t>Adenovirus-Serotyp-Wechsel steigerte Ebola-Impfstoff-Immunantwort in Mäusen</w:t>
      </w:r>
    </w:p>
    <w:p>
      <w:r>
        <w:rPr>
          <w:i/>
          <w:color w:val="666666"/>
          <w:sz w:val="18"/>
        </w:rPr>
        <w:t>Wiggins J et al.  ·  J Med Virol  ·  Sept. 2026  ·  PMID 42765626</w:t>
      </w:r>
    </w:p>
    <w:p>
      <w:r>
        <w:t>Vergleichende Laborstu die mit verschiedenen Adenovirus-Vektoren und Immunisierungsrouten zur Optimierung der Ebolavirus-Glykoproteinin-Immunogenität.</w:t>
      </w:r>
    </w:p>
    <w:p>
      <w:r>
        <w:rPr>
          <w:b/>
        </w:rPr>
        <w:t xml:space="preserve">Ergebnis: </w:t>
      </w:r>
      <w:r>
        <w:t>Species-C-Vektoren (Ad5, Ad6) zeigten starke Antikörperreaktionen und schnelle Klassenumwandlung zu IgG im Vergleich zu Species B und D. Serotyp-Wechsel-Schemata erhöhten Antikörperniveaus und erzeugte robuste T-Zell-Reaktionen bei intramuskulärer Gabe. Intranasale Gabe induzierte nachweisbares IgA, aber keine messbaren T-Zell-Antworten – routenabhängige Immunkompartimentalisierung.</w:t>
      </w:r>
    </w:p>
    <w:p>
      <w:r>
        <w:rPr>
          <w:b/>
          <w:sz w:val="19"/>
        </w:rPr>
        <w:t xml:space="preserve">Übertragbarkeit: </w:t>
      </w:r>
      <w:r>
        <w:rPr>
          <w:sz w:val="19"/>
        </w:rPr>
        <w:t>Präklinische Mausstudien, Impfstoff-Entwicklungsphase, keine direkten Versorgungsdaten</w:t>
      </w:r>
    </w:p>
    <w:p>
      <w:r>
        <w:rPr>
          <w:color w:val="5A7D3A"/>
          <w:sz w:val="18"/>
        </w:rPr>
        <w:t>https://pubmed.ncbi.nlm.nih.gov/42765626/</w:t>
      </w:r>
    </w:p>
    <w:p>
      <w:pPr>
        <w:pStyle w:val="Heading2"/>
      </w:pPr>
      <w:r>
        <w:t>MMR-Impf-Anaphylaxie durch Schweineglatine: Fallbericht und praktische Empfehlungen</w:t>
      </w:r>
    </w:p>
    <w:p>
      <w:r>
        <w:rPr>
          <w:i/>
          <w:color w:val="666666"/>
          <w:sz w:val="18"/>
        </w:rPr>
        <w:t>Iordachescu M et al.  ·  Rev Med Liege  ·  Sept. 2026  ·  PMID 42751843</w:t>
      </w:r>
    </w:p>
    <w:p>
      <w:r>
        <w:t>Zwei pädiatrische Fallberichte von Anaphylaxie nach M-M-RVaxPro®-Impfung, zugeordnet der Schweineglatine (14,5 mg/Dosis) als Stabilisator.</w:t>
      </w:r>
    </w:p>
    <w:p>
      <w:r>
        <w:rPr>
          <w:b/>
        </w:rPr>
        <w:t xml:space="preserve">Ergebnis: </w:t>
      </w:r>
      <w:r>
        <w:t>Beide Patienten entwickelten schwere Reaktionen nach Auffrischung mit positiven Haut- und Bluttests für Gelatin; Allergien gegen Neomycin, Latex und Chlorhexidin ausgeschlossen. Empfehlungen: Vermeidung gelatinehaltiger Impfstoffe, Substitution mit gelatinefreien Alternativen (Priorix®), orale Herausforderungsprobe für Lebensmitteltoleranz, Epinephrin-Notfallset, Spitalüberwachung bei Mastzellstörungen.</w:t>
      </w:r>
    </w:p>
    <w:p>
      <w:r>
        <w:rPr>
          <w:b/>
          <w:sz w:val="19"/>
        </w:rPr>
        <w:t xml:space="preserve">Übertragbarkeit: </w:t>
      </w:r>
      <w:r>
        <w:rPr>
          <w:sz w:val="19"/>
        </w:rPr>
        <w:t>Belgien, europäische Fallberichte, Sicherheitserkenntnis für alle Mastzell-Erkrankungen</w:t>
      </w:r>
    </w:p>
    <w:p>
      <w:r>
        <w:rPr>
          <w:color w:val="5A7D3A"/>
          <w:sz w:val="18"/>
        </w:rPr>
        <w:t>https://pubmed.ncbi.nlm.nih.gov/42751843/</w:t>
      </w:r>
    </w:p>
    <w:p>
      <w:pPr>
        <w:pStyle w:val="Heading2"/>
      </w:pPr>
      <w:r>
        <w:t>RSV-Impfstoff verhinderte 70 % der Hospitalisierungen bei Erwachsenen</w:t>
      </w:r>
    </w:p>
    <w:p>
      <w:r>
        <w:rPr>
          <w:i/>
          <w:color w:val="666666"/>
          <w:sz w:val="18"/>
        </w:rPr>
        <w:t>Lassen MCH et al.  ·  NEJM Evid  ·  29.08.2026  ·  PMID 42666095</w:t>
      </w:r>
    </w:p>
    <w:p>
      <w:r>
        <w:t>Pragmatische randomisierte Studie zum Schutz der bivalenten RSV-Präfusion-F-Impfung vor RSV-Hospitalisierung in Dänemark und Spanien.</w:t>
      </w:r>
    </w:p>
    <w:p>
      <w:r>
        <w:rPr>
          <w:b/>
        </w:rPr>
        <w:t xml:space="preserve">Ergebnis: </w:t>
      </w:r>
      <w:r>
        <w:t>Von 513.358 randomisierten Teilnehmern lag die Impfeffektivität gegen RSV-Atemwegserkrankungen-Hospitalisierung bei 70,3 % (95 %-KI 49,7–83,2), gegen untere Atemwege bei 71,1 % (45,4–85,7). Schwere Nebenwirkungen traten in 2,0 % der Impfgruppe vs. 2,2 % der Kontrollgruppe auf – ein wirksamer und sicherer Impfstoff unter Alltagsbedingungen.</w:t>
      </w:r>
    </w:p>
    <w:p>
      <w:r>
        <w:rPr>
          <w:b/>
          <w:sz w:val="19"/>
        </w:rPr>
        <w:t xml:space="preserve">Übertragbarkeit: </w:t>
      </w:r>
      <w:r>
        <w:rPr>
          <w:sz w:val="19"/>
        </w:rPr>
        <w:t>Dänemark/Spanien, nationale Versicherungsdaten und Routineüberwachung, nicht USA-abhängig</w:t>
      </w:r>
    </w:p>
    <w:p>
      <w:r>
        <w:rPr>
          <w:color w:val="5A7D3A"/>
          <w:sz w:val="18"/>
        </w:rPr>
        <w:t>https://pubmed.ncbi.nlm.nih.gov/42666095/</w:t>
      </w:r>
    </w:p>
    <w:p>
      <w:pPr>
        <w:pStyle w:val="Heading1"/>
      </w:pPr>
      <w:r>
        <w:t>Aufgenommen am 22.09.2026</w:t>
      </w:r>
    </w:p>
    <w:p>
      <w:pPr>
        <w:pStyle w:val="Heading2"/>
      </w:pPr>
      <w:r>
        <w:t>Impfbelastung bei Kindern senken: Leitlinie 2026 zu Schmerz und Angst</w:t>
      </w:r>
    </w:p>
    <w:p>
      <w:r>
        <w:rPr>
          <w:i/>
          <w:color w:val="666666"/>
          <w:sz w:val="18"/>
        </w:rPr>
        <w:t>Taddio A et al.  ·  CMAJ  ·  20.09.2026  ·  PMID 42767684</w:t>
      </w:r>
    </w:p>
    <w:p>
      <w:r>
        <w:t>Systematische Übersichtsarbeiten zu 16 evidenzgestützten Empfehlungen gegen Impfangst und Schmerzen in fünf Domänen (Prozess, Technik, Körperlage, Medikament, Psychologie).</w:t>
      </w:r>
    </w:p>
    <w:p>
      <w:r>
        <w:rPr>
          <w:b/>
        </w:rPr>
        <w:t xml:space="preserve">Ergebnis: </w:t>
      </w:r>
      <w:r>
        <w:t>7 starke Empfehlungen mit moderater bis hoher Evidenz (z. B. mehrkomponentige Prozessinterventionen, orale Ernährung für Säuglinge); 9 bedingte Empfehlungen bei niedriger Evidenz. Empfehlungen zielgruppenspezifisch für Fachpersonen, Impflinge und Angehörige.</w:t>
      </w:r>
    </w:p>
    <w:p>
      <w:r>
        <w:rPr>
          <w:b/>
          <w:sz w:val="19"/>
        </w:rPr>
        <w:t xml:space="preserve">Übertragbarkeit: </w:t>
      </w:r>
      <w:r>
        <w:rPr>
          <w:sz w:val="19"/>
        </w:rPr>
        <w:t>Kanada, GRADE-Methodik, Impfpraxis in Hocheinkommensländern.</w:t>
      </w:r>
    </w:p>
    <w:p>
      <w:r>
        <w:rPr>
          <w:color w:val="5A7D3A"/>
          <w:sz w:val="18"/>
        </w:rPr>
        <w:t>https://pubmed.ncbi.nlm.nih.gov/42767684/</w:t>
      </w:r>
    </w:p>
    <w:p>
      <w:pPr>
        <w:pStyle w:val="Heading2"/>
      </w:pPr>
      <w:r>
        <w:t>HPV-Impfbereitschaft bei Frauen in Sierra Leone: hohe Akzeptanz trotz Wissenslücken</w:t>
      </w:r>
    </w:p>
    <w:p>
      <w:r>
        <w:rPr>
          <w:i/>
          <w:color w:val="666666"/>
          <w:sz w:val="18"/>
        </w:rPr>
        <w:t>Everman S et al.  ·  J Health Care Poor Underserved  ·  2026  ·  PMID 42766516</w:t>
      </w:r>
    </w:p>
    <w:p>
      <w:r>
        <w:t>Querschnittsstudie zur Akzeptanz der HPV-Impfung bei 189 Frauen in ländlichen und städtischen Gegenden Sierra Leones, untersucht Wissen über Gebärmutterhalskrebs und Impfverhalten.</w:t>
      </w:r>
    </w:p>
    <w:p>
      <w:r>
        <w:rPr>
          <w:b/>
        </w:rPr>
        <w:t xml:space="preserve">Ergebnis: </w:t>
      </w:r>
      <w:r>
        <w:t>Geringe Awareness für Gebärmutterhalskrebs und HPV-Impfung. Breite Willingness zur Impfung. Statistisch signifikante positive Assoziation zwischen formaler Bildung und Impfbereitschaft (p &lt; 0,01). Starke Präferenz für Schulmedizin.</w:t>
      </w:r>
    </w:p>
    <w:p>
      <w:r>
        <w:rPr>
          <w:b/>
          <w:sz w:val="19"/>
        </w:rPr>
        <w:t xml:space="preserve">Übertragbarkeit: </w:t>
      </w:r>
      <w:r>
        <w:rPr>
          <w:sz w:val="19"/>
        </w:rPr>
        <w:t>Wenig entwickelte Region, Impfakzeptanz ist Ausgangspunkt für Programmentwicklung.</w:t>
      </w:r>
    </w:p>
    <w:p>
      <w:r>
        <w:rPr>
          <w:color w:val="5A7D3A"/>
          <w:sz w:val="18"/>
        </w:rPr>
        <w:t>https://pubmed.ncbi.nlm.nih.gov/42766516/</w:t>
      </w:r>
    </w:p>
    <w:p>
      <w:pPr>
        <w:pStyle w:val="Heading2"/>
      </w:pPr>
      <w:r>
        <w:t>Saisonimpfung vor A(H5)-Impfung: marginal additivem Nutzen gegen pandemisches H5N1-Risiko</w:t>
      </w:r>
    </w:p>
    <w:p>
      <w:r>
        <w:rPr>
          <w:i/>
          <w:color w:val="666666"/>
          <w:sz w:val="18"/>
        </w:rPr>
        <w:t>Hatta M et al.  ·  Emerg Microbes Infect  ·  21.09.2026  ·  PMID 42765371</w:t>
      </w:r>
    </w:p>
    <w:p>
      <w:r>
        <w:t>Maus- und Frettchen-Modellstudie mit pandemischen H5N1-Viren (Klade 2.3.4.4b) zur Frage, ob saisonale Influenza-Impfung vor A(H5)-Impfung die Schutzwirkung verbessert.</w:t>
      </w:r>
    </w:p>
    <w:p>
      <w:r>
        <w:rPr>
          <w:b/>
        </w:rPr>
        <w:t xml:space="preserve">Ergebnis: </w:t>
      </w:r>
      <w:r>
        <w:t>Saisonale Impfung induzierte keine Antikörper gegen A(H5). Saisonale Impfung vor A(H5)-Impfung war in 1 von 3 Maus-Experimenten mit besseren Outcomes assoziiert, nicht aber in den anderen 2 Maus-Experimenten oder bei Frettchen. Begrenzte additive Vorteile.</w:t>
      </w:r>
    </w:p>
    <w:p>
      <w:r>
        <w:rPr>
          <w:b/>
          <w:sz w:val="19"/>
        </w:rPr>
        <w:t xml:space="preserve">Übertragbarkeit: </w:t>
      </w:r>
      <w:r>
        <w:rPr>
          <w:sz w:val="19"/>
        </w:rPr>
        <w:t>Präklinische Modelle, Pandemiebereitscha Deutschland für Ressourcenpriorisierung.</w:t>
      </w:r>
    </w:p>
    <w:p>
      <w:r>
        <w:rPr>
          <w:color w:val="5A7D3A"/>
          <w:sz w:val="18"/>
        </w:rPr>
        <w:t>https://pubmed.ncbi.nlm.nih.gov/42765371/</w:t>
      </w:r>
    </w:p>
    <w:p>
      <w:pPr>
        <w:pStyle w:val="Heading2"/>
      </w:pPr>
      <w:r>
        <w:t>Influenza- und Pneumokokken-Impfungen in Südafrika 2017–2021: COVID-19 beeinflusste Versorgungsmuster</w:t>
      </w:r>
    </w:p>
    <w:p>
      <w:r>
        <w:rPr>
          <w:i/>
          <w:color w:val="666666"/>
          <w:sz w:val="18"/>
        </w:rPr>
        <w:t>Truter I et al.  ·  Pharmacoepidemiol Drug Saf  ·  Okt. 2026  ·  PMID 42764173</w:t>
      </w:r>
    </w:p>
    <w:p>
      <w:r>
        <w:t>Longitudinale pharmakoepidemiologische Studie zu Abgabemengen von Influenza- und Pneumokokken-Impfstoffen in privaten Krankenversicherungsdaten Südafrikas (3,8 Mio. Versicherte).</w:t>
      </w:r>
    </w:p>
    <w:p>
      <w:r>
        <w:rPr>
          <w:b/>
        </w:rPr>
        <w:t xml:space="preserve">Ergebnis: </w:t>
      </w:r>
      <w:r>
        <w:t>Jährliche Abgabemuster unterschieden sich signifikant (p &lt; 0,01), Influenza-Impfung hauptsächlich März–Juni. Post-COVID-19 (2020–2021): signifikant mehr Influenza-Impfungen März–Juni (p &lt; 0,01), leichte Zunahme Pneumokokken-Impfungen (p &lt; 0,05). COVID-19-Impfung hatte insgesamt keinen signifikanten Effekt auf die Muster.</w:t>
      </w:r>
    </w:p>
    <w:p>
      <w:r>
        <w:rPr>
          <w:b/>
          <w:sz w:val="19"/>
        </w:rPr>
        <w:t xml:space="preserve">Übertragbarkeit: </w:t>
      </w:r>
      <w:r>
        <w:rPr>
          <w:sz w:val="19"/>
        </w:rPr>
        <w:t>Südafrika, Versicherungsdaten, Versorgungsrealität im Privatsektor.</w:t>
      </w:r>
    </w:p>
    <w:p>
      <w:r>
        <w:rPr>
          <w:color w:val="5A7D3A"/>
          <w:sz w:val="18"/>
        </w:rPr>
        <w:t>https://pubmed.ncbi.nlm.nih.gov/42764173/</w:t>
      </w:r>
    </w:p>
    <w:p>
      <w:pPr>
        <w:pStyle w:val="Heading2"/>
      </w:pPr>
      <w:r>
        <w:t>Influenza-Impfeffektivität bei Kindern in der Primärversorgung: 79 % Schutz vor laborbestätigter Erkrankung</w:t>
      </w:r>
    </w:p>
    <w:p>
      <w:r>
        <w:rPr>
          <w:i/>
          <w:color w:val="666666"/>
          <w:sz w:val="18"/>
        </w:rPr>
        <w:t>Barretta M et al.  ·  Clin Microbiol Infect  ·  11.07.2026  ·  PMID 42435855</w:t>
      </w:r>
    </w:p>
    <w:p>
      <w:r>
        <w:t>Multizenterstudie unter italienischen Kinderärzten zur Influenza-Impfeffektivität in der ambulanten Versorgung während der Saison 2024/2025.</w:t>
      </w:r>
    </w:p>
    <w:p>
      <w:r>
        <w:rPr>
          <w:b/>
        </w:rPr>
        <w:t xml:space="preserve">Ergebnis: </w:t>
      </w:r>
      <w:r>
        <w:t>79 % Reduktion von laborbestätigter Influenza bei geimpften vs. ungeimpften Kindern (95%-KI: 70–86 %). Kohorten-Analyse zeigte 76 % VE (95%-KI: 67–82 %). Effektivität konsistent für unterschiedliche Impfstofftypen und Testmethoden. Kein Schutz vor nicht-influenzabedingten Atemwegsinfekten.</w:t>
      </w:r>
    </w:p>
    <w:p>
      <w:r>
        <w:rPr>
          <w:b/>
          <w:sz w:val="19"/>
        </w:rPr>
        <w:t xml:space="preserve">Übertragbarkeit: </w:t>
      </w:r>
      <w:r>
        <w:rPr>
          <w:sz w:val="19"/>
        </w:rPr>
        <w:t>Italien, vergleichbare pädiatrische Versorgungsstrukturen, Praxisdaten.</w:t>
      </w:r>
    </w:p>
    <w:p>
      <w:r>
        <w:rPr>
          <w:color w:val="5A7D3A"/>
          <w:sz w:val="18"/>
        </w:rPr>
        <w:t>https://pubmed.ncbi.nlm.nih.gov/42435855/</w:t>
      </w:r>
    </w:p>
    <w:p>
      <w:pPr>
        <w:pStyle w:val="Heading1"/>
      </w:pPr>
      <w:r>
        <w:t>Aufgenommen am 21.09.2026</w:t>
      </w:r>
    </w:p>
    <w:p>
      <w:pPr>
        <w:pStyle w:val="Heading2"/>
      </w:pPr>
      <w:r>
        <w:t>Impfstoffsicherheit: Meningokokken-B und Routineimpfungen bei Säuglingen</w:t>
      </w:r>
    </w:p>
    <w:p>
      <w:r>
        <w:rPr>
          <w:i/>
          <w:color w:val="666666"/>
          <w:sz w:val="18"/>
        </w:rPr>
        <w:t>Nguyen T et al.  ·  Med J Aust  ·  Sept. 2026  ·  PMID 42764145</w:t>
      </w:r>
    </w:p>
    <w:p>
      <w:r>
        <w:t>Die Studie vergleicht Sicherheit und Reaktionen bei gleichzeitiger oder separater Verabreichung von Meningokokken-B-Impfstoff mit anderen Säuglingsimpfungen an 2-, 4-, 6- und 12 Monaten.</w:t>
      </w:r>
    </w:p>
    <w:p>
      <w:r>
        <w:rPr>
          <w:b/>
        </w:rPr>
        <w:t xml:space="preserve">Ergebnis: </w:t>
      </w:r>
      <w:r>
        <w:t>Bei 10.959 Säuglingen war die kumulative Rate unerwünschter Ereignisse nach gleichzeitiger Gabe bei 2 Monaten niedriger (29 % vs. 35 %, Risikodifferenz −6,7 %), bei 4, 6 und 12 Monaten vergleichbar. Ärztliche Konsultationen waren bei 12 Monaten unter gleichzeitiger Gabe seltener (4,1 % vs. 6,3 %). Separate Verabreichung reduziert nicht, kann aber die Reaktionslast erhöhen.</w:t>
      </w:r>
    </w:p>
    <w:p>
      <w:r>
        <w:rPr>
          <w:b/>
          <w:sz w:val="19"/>
        </w:rPr>
        <w:t xml:space="preserve">Übertragbarkeit: </w:t>
      </w:r>
      <w:r>
        <w:rPr>
          <w:sz w:val="19"/>
        </w:rPr>
        <w:t>Australien, vergleichbare Surveillance-Methodik über Online-Befragung anwendbar</w:t>
      </w:r>
    </w:p>
    <w:p>
      <w:r>
        <w:rPr>
          <w:color w:val="5A7D3A"/>
          <w:sz w:val="18"/>
        </w:rPr>
        <w:t>https://pubmed.ncbi.nlm.nih.gov/42764145/</w:t>
      </w:r>
    </w:p>
    <w:p>
      <w:pPr>
        <w:pStyle w:val="Heading2"/>
      </w:pPr>
      <w:r>
        <w:t>SARS-CoV-2 Langzeitschutz: MVA-Impfung erreicht mRNA-Niveau</w:t>
      </w:r>
    </w:p>
    <w:p>
      <w:r>
        <w:rPr>
          <w:i/>
          <w:color w:val="666666"/>
          <w:sz w:val="18"/>
        </w:rPr>
        <w:t>Pérez P et al.  ·  Front Immunol  ·  31.08.2026  ·  PMID 42741364</w:t>
      </w:r>
    </w:p>
    <w:p>
      <w:r>
        <w:t>Studie vergleicht Langzeitimmunität und Schutzwirkung nach homologer oder heterologer mRNA- und MVA-Impfung gegen XBB.1.5 in K18-hACE2-Mäusen über 9 Monate.</w:t>
      </w:r>
    </w:p>
    <w:p>
      <w:r>
        <w:rPr>
          <w:b/>
        </w:rPr>
        <w:t xml:space="preserve">Ergebnis: </w:t>
      </w:r>
      <w:r>
        <w:t>Alle Zwei-Dosen-Regimen reduzierten viral RNA und infektiöse Viruslast in oberen und unteren Atemwegen nach Challenge markant und vergleichbar. Bindungs-IgG blieb über 9 Monate hoch, neutralisierende Antikörper nahmen ab. mRNA/MVA-Heterologer Regimen zeigte Trend zu besserer CD8+-T-Zell-Persistenz. MVA als thermostabiler und kostengünstiger Kandidat bestätigt.</w:t>
      </w:r>
    </w:p>
    <w:p>
      <w:r>
        <w:rPr>
          <w:b/>
          <w:sz w:val="19"/>
        </w:rPr>
        <w:t xml:space="preserve">Übertragbarkeit: </w:t>
      </w:r>
      <w:r>
        <w:rPr>
          <w:sz w:val="19"/>
        </w:rPr>
        <w:t>Experimentell in Mäusen; Strategie für globale thermostabile Impfstoffversorgung relevant</w:t>
      </w:r>
    </w:p>
    <w:p>
      <w:r>
        <w:rPr>
          <w:color w:val="5A7D3A"/>
          <w:sz w:val="18"/>
        </w:rPr>
        <w:t>https://pubmed.ncbi.nlm.nih.gov/42741364/</w:t>
      </w:r>
    </w:p>
    <w:p>
      <w:pPr>
        <w:pStyle w:val="Heading2"/>
      </w:pPr>
      <w:r>
        <w:t>Digitale Impfdienste in Impfzentren: Strategien zur Effizienzsteigerung</w:t>
      </w:r>
    </w:p>
    <w:p>
      <w:r>
        <w:rPr>
          <w:i/>
          <w:color w:val="666666"/>
          <w:sz w:val="18"/>
        </w:rPr>
        <w:t>Song YF et al.  ·  Zhonghua Yu Fang Yi Xue Za Zhi  ·  06.09.2026  ·  PMID 42736157</w:t>
      </w:r>
    </w:p>
    <w:p>
      <w:r>
        <w:t>Chinesische Systemanalyse zu Strategien und Praktiken für digitale Services in Impfzentren, um Versorgungsqualität und Effizienz zu verbessern.</w:t>
      </w:r>
    </w:p>
    <w:p>
      <w:r>
        <w:rPr>
          <w:b/>
        </w:rPr>
        <w:t xml:space="preserve">Ergebnis: </w:t>
      </w:r>
      <w:r>
        <w:t>Artikel definiert digitale Impfdienste systematisch als Antwort auf steigende Impfstoffvielfalt, höhere Bevölkerungsmobilität und diversifizierte Impfbedarfe. Hauptkomponenten sind digitale Verwaltung, Planung und Patientenmanagement. Implementierungsempfehlungen zielen auf Verbesserung von Verwaltungseffizienz und Servicequalität.</w:t>
      </w:r>
    </w:p>
    <w:p>
      <w:r>
        <w:rPr>
          <w:b/>
          <w:sz w:val="19"/>
        </w:rPr>
        <w:t xml:space="preserve">Übertragbarkeit: </w:t>
      </w:r>
      <w:r>
        <w:rPr>
          <w:sz w:val="19"/>
        </w:rPr>
        <w:t>China; Systemansatz übertragbar auf Optimierung der Impflogistik in Gesundheitssystemen</w:t>
      </w:r>
    </w:p>
    <w:p>
      <w:r>
        <w:rPr>
          <w:color w:val="5A7D3A"/>
          <w:sz w:val="18"/>
        </w:rPr>
        <w:t>https://pubmed.ncbi.nlm.nih.gov/42736157/</w:t>
      </w:r>
    </w:p>
    <w:p>
      <w:pPr>
        <w:pStyle w:val="Heading2"/>
      </w:pPr>
      <w:r>
        <w:t>Dengue- und Chikungunya-Impfstoffe: Verfügbarkeit und Versorgungslücken</w:t>
      </w:r>
    </w:p>
    <w:p>
      <w:r>
        <w:rPr>
          <w:i/>
          <w:color w:val="666666"/>
          <w:sz w:val="18"/>
        </w:rPr>
        <w:t>Tee KK et al.  ·  Hum Vaccin Immunother  ·  10.09.2026  ·  PMID 42720969</w:t>
      </w:r>
    </w:p>
    <w:p>
      <w:r>
        <w:t>Analyse der Lücke zwischen Impfstoffverfügbarkeit nach regulativer Zulassung und tatsächlicher Aufnahme in nationale Impfprogramme in Ländern mit Übertragungsrisiko.</w:t>
      </w:r>
    </w:p>
    <w:p>
      <w:r>
        <w:rPr>
          <w:b/>
        </w:rPr>
        <w:t xml:space="preserve">Ergebnis: </w:t>
      </w:r>
      <w:r>
        <w:t>Dengue- und Chikungunya-Impfstoffe sind verfügbar, aber ihre Aufnahme in nationale Programme in vielen Hochrisiko-Ländern bleibt begrenzt oder ungleich verteilt. Die zentrale Herausforderung liegt nicht nur in der Verfügbarkeit, sondern in einem mehrschichtigen Zugangsdefizit: initiale Verfügbarkeit, anhaltende Bereitstellung und Anpassung an Übertragungsrisiko.</w:t>
      </w:r>
    </w:p>
    <w:p>
      <w:r>
        <w:rPr>
          <w:b/>
          <w:sz w:val="19"/>
        </w:rPr>
        <w:t xml:space="preserve">Übertragbarkeit: </w:t>
      </w:r>
      <w:r>
        <w:rPr>
          <w:sz w:val="19"/>
        </w:rPr>
        <w:t>Globale Perspektive; übertragbar auf Systemfähigkeit und Priorisierung in Gesundheitssystemen</w:t>
      </w:r>
    </w:p>
    <w:p>
      <w:r>
        <w:rPr>
          <w:color w:val="5A7D3A"/>
          <w:sz w:val="18"/>
        </w:rPr>
        <w:t>https://pubmed.ncbi.nlm.nih.gov/42720969/</w:t>
      </w:r>
    </w:p>
    <w:p>
      <w:pPr>
        <w:pStyle w:val="Heading2"/>
      </w:pPr>
      <w:r>
        <w:t>Impfstoff-Notfallreserven: Globales System entwickelt sich weiter</w:t>
      </w:r>
    </w:p>
    <w:p>
      <w:r>
        <w:rPr>
          <w:i/>
          <w:color w:val="666666"/>
          <w:sz w:val="18"/>
        </w:rPr>
        <w:t>Walldorf JA et al.  ·  Expert Rev Vaccines  ·  10.09.2026  ·  PMID 42717903</w:t>
      </w:r>
    </w:p>
    <w:p>
      <w:r>
        <w:t>Übersicht über die Entwicklung globaler Impfstoff-Stockpile-Strategien von 2014–2025 für Cholera, Gelbfieber, Polio, Meningokokken, COVID-19, Ebola und Mpox.</w:t>
      </w:r>
    </w:p>
    <w:p>
      <w:r>
        <w:rPr>
          <w:b/>
        </w:rPr>
        <w:t xml:space="preserve">Ergebnis: </w:t>
      </w:r>
      <w:r>
        <w:t>Globale Stockpile wurden für mehrere Impfstoffe etabliert. Die Strategie hat sich von reaktiv zu integriert entwickelt und verbindet Notfallreaktion mit Präventionsstrategie. Beschleunigte Impfstoffentwicklung erfordert effiziente und transparente Stockpile-Verwaltung für gerechte, bedarfsgerechte Verteilung.</w:t>
      </w:r>
    </w:p>
    <w:p>
      <w:r>
        <w:rPr>
          <w:b/>
          <w:sz w:val="19"/>
        </w:rPr>
        <w:t xml:space="preserve">Übertragbarkeit: </w:t>
      </w:r>
      <w:r>
        <w:rPr>
          <w:sz w:val="19"/>
        </w:rPr>
        <w:t>Governance und Versorgungslogistik; System betrifft Deutschland als Teilnehmer globaler Netzwerke</w:t>
      </w:r>
    </w:p>
    <w:p>
      <w:r>
        <w:rPr>
          <w:color w:val="5A7D3A"/>
          <w:sz w:val="18"/>
        </w:rPr>
        <w:t>https://pubmed.ncbi.nlm.nih.gov/42717903/</w:t>
      </w:r>
    </w:p>
    <w:p>
      <w:pPr>
        <w:pStyle w:val="Heading2"/>
      </w:pPr>
      <w:r>
        <w:t>BNT162b2-mRNA-Impfung: Plasmazytoide dendritische Zellen lenken Immunantwort</w:t>
      </w:r>
    </w:p>
    <w:p>
      <w:r>
        <w:rPr>
          <w:i/>
          <w:color w:val="666666"/>
          <w:sz w:val="18"/>
        </w:rPr>
        <w:t>Pizzichetti C et al.  ·  EBioMedicine  ·  21.08.2026  ·  PMID 42628376</w:t>
      </w:r>
    </w:p>
    <w:p>
      <w:r>
        <w:t>Vorklinische Mausstudie zur Rolle plasmatischer dendritischer Zellen (pDCs) bei humoralen und CD8+-T-Zell-Gedächtnisantworten nach BNT162b2-Impfung.</w:t>
      </w:r>
    </w:p>
    <w:p>
      <w:r>
        <w:rPr>
          <w:b/>
        </w:rPr>
        <w:t xml:space="preserve">Ergebnis: </w:t>
      </w:r>
      <w:r>
        <w:t>BNT162b2 wurde schnell zu drainierenden Lymphknoten transportiert, wo es hauptsächlich von Leukozyten aufgenommen wurde, die daraufhin Spike-Protein exprimierten. pDCs zeigten sich als Regulatoren entzündlicher und humoraler Immunantworten. Single-Cell-Transkriptomik offenbarte aktive Interaktionen zwischen pDCs und CD8+-T-Zellen; funktionelle Studien bestätigten, dass pDCs CD8+-T-Zell-Aktivierung und -Expansion fördern.</w:t>
      </w:r>
    </w:p>
    <w:p>
      <w:r>
        <w:rPr>
          <w:b/>
          <w:sz w:val="19"/>
        </w:rPr>
        <w:t xml:space="preserve">Übertragbarkeit: </w:t>
      </w:r>
      <w:r>
        <w:rPr>
          <w:sz w:val="19"/>
        </w:rPr>
        <w:t>Vorklinisch; Mechanismusverständnis der mRNA-Impfstoffwirksamkeit</w:t>
      </w:r>
    </w:p>
    <w:p>
      <w:r>
        <w:rPr>
          <w:color w:val="5A7D3A"/>
          <w:sz w:val="18"/>
        </w:rPr>
        <w:t>https://pubmed.ncbi.nlm.nih.gov/42628376/</w:t>
      </w:r>
    </w:p>
    <w:p>
      <w:pPr>
        <w:pStyle w:val="Heading1"/>
      </w:pPr>
      <w:r>
        <w:t>Aufgenommen am 20.09.2026</w:t>
      </w:r>
    </w:p>
    <w:p>
      <w:pPr>
        <w:pStyle w:val="Heading2"/>
      </w:pPr>
      <w:r>
        <w:t>COVID-19-Impfquote bei Lebertransplantierten: 84,9% mit stabiler psychosozialer Gesundheit</w:t>
      </w:r>
    </w:p>
    <w:p>
      <w:r>
        <w:rPr>
          <w:i/>
          <w:color w:val="666666"/>
          <w:sz w:val="18"/>
        </w:rPr>
        <w:t>Akbulut S et al.  ·  Front Public Health  ·  04.09.2026  ·  PMID 42761137</w:t>
      </w:r>
    </w:p>
    <w:p>
      <w:r>
        <w:t>Querschnittsstudie von 311 Lebertransplantierten in der Türkei zu Impfstatus, Impfakzeptanz, Hesitanz, Präventionsverhalten und psychosozialer Gesundheit.</w:t>
      </w:r>
    </w:p>
    <w:p>
      <w:r>
        <w:rPr>
          <w:b/>
        </w:rPr>
        <w:t xml:space="preserve">Ergebnis: </w:t>
      </w:r>
      <w:r>
        <w:t>84,9% Impfquote; Hauptgründe: Empfehlungen von Fachleuten (p=n.s.), wahrgenommene höhere Mortalität chronisch Kranker. Hesitanz wegen unzureichender Effektivitäts- und Sicherheitsdaten, Anti-Impf-Inhalte in sozialen Medien. Psychosoziales Wohlbefinden assoziiert mit Einkommen, Immunsuppression und Informationsquellen; Impfstatus nicht robust mit Risikoperzeption assoziiert.</w:t>
      </w:r>
    </w:p>
    <w:p>
      <w:r>
        <w:rPr>
          <w:b/>
          <w:sz w:val="19"/>
        </w:rPr>
        <w:t xml:space="preserve">Übertragbarkeit: </w:t>
      </w:r>
      <w:r>
        <w:rPr>
          <w:sz w:val="19"/>
        </w:rPr>
        <w:t>Türkei, aber Erkenntnisse zu Impfakzeptanz in Hochrisiko-Kohorten übertragbar</w:t>
      </w:r>
    </w:p>
    <w:p>
      <w:r>
        <w:rPr>
          <w:color w:val="5A7D3A"/>
          <w:sz w:val="18"/>
        </w:rPr>
        <w:t>https://pubmed.ncbi.nlm.nih.gov/42761137/</w:t>
      </w:r>
    </w:p>
    <w:p>
      <w:pPr>
        <w:pStyle w:val="Heading2"/>
      </w:pPr>
      <w:r>
        <w:t>HSV-1-Infektion nach Grippeimpfung: Kasuistik einer zeitlichen Assoziation</w:t>
      </w:r>
    </w:p>
    <w:p>
      <w:r>
        <w:rPr>
          <w:i/>
          <w:color w:val="666666"/>
          <w:sz w:val="18"/>
        </w:rPr>
        <w:t>Liu YH et al.  ·  Hum Vaccin Immunother  ·  18.09.2026  ·  PMID 42757534</w:t>
      </w:r>
    </w:p>
    <w:p>
      <w:r>
        <w:t>Fallbericht eines 28-Jährigen mit multifokaler HSV-1-Infektion sieben Tage nach Influenzaimpfung ohne bekannte Immunsuppression.</w:t>
      </w:r>
    </w:p>
    <w:p>
      <w:r>
        <w:rPr>
          <w:b/>
        </w:rPr>
        <w:t xml:space="preserve">Ergebnis: </w:t>
      </w:r>
      <w:r>
        <w:t>PCR bestätigte HSV-1-DNA in Läsionen; vollständige klinische Remission nach intravenösem Acyclovir. Kausalität kann nicht etabliert werden, zeitliche Nähe ist jedoch bemerkenswert; Differentialdiagnose sollte HSV-Infektionen nach Impfung einbeziehen, ohne Kausalität zu implizieren.</w:t>
      </w:r>
    </w:p>
    <w:p>
      <w:r>
        <w:rPr>
          <w:b/>
          <w:sz w:val="19"/>
        </w:rPr>
        <w:t xml:space="preserve">Übertragbarkeit: </w:t>
      </w:r>
      <w:r>
        <w:rPr>
          <w:sz w:val="19"/>
        </w:rPr>
        <w:t>Deutschland, klinische Einzelfallbeobachtung in Versorgungspraxis relevant</w:t>
      </w:r>
    </w:p>
    <w:p>
      <w:r>
        <w:rPr>
          <w:color w:val="5A7D3A"/>
          <w:sz w:val="18"/>
        </w:rPr>
        <w:t>https://pubmed.ncbi.nlm.nih.gov/42757534/</w:t>
      </w:r>
    </w:p>
    <w:p>
      <w:pPr>
        <w:pStyle w:val="Heading2"/>
      </w:pPr>
      <w:r>
        <w:t>Sabin-IPV in Erwachsenen: Sicherheitsprofil gleichwertig mit konventionellem Polio-Impfstoff</w:t>
      </w:r>
    </w:p>
    <w:p>
      <w:r>
        <w:rPr>
          <w:i/>
          <w:color w:val="666666"/>
          <w:sz w:val="18"/>
        </w:rPr>
        <w:t>Hussain M et al.  ·  Front Public Health  ·  03.09.2026  ·  PMID 42755970</w:t>
      </w:r>
    </w:p>
    <w:p>
      <w:r>
        <w:t>Systematische Übersicht und Meta-Analyse von vier RCTs (70–340 Teilnehmer) zum Vergleich der Sicherheit von Sabin-abgeleiteter inaktivierter Poliovirus-Impfung (sIPV) mit konventioneller IPV bei Erwachsenen als Auffrischung.</w:t>
      </w:r>
    </w:p>
    <w:p>
      <w:r>
        <w:rPr>
          <w:b/>
        </w:rPr>
        <w:t xml:space="preserve">Ergebnis: </w:t>
      </w:r>
      <w:r>
        <w:t>Kein statistisch signifikanter Unterschied in unerwünschten Ereignissen: Schmerz (RR 1,57; 95%-KI 0,98–2,50), Erythem (RR 1,54; 95%-KI 0,64–3,69), Fieber (RR 0,96; 95%-KI 0,39–2,33). Heterogenität I²=0%. Nebenwirkungen mild und transient, die meisten Studien berichteten keine ernstlichen unerwünschten Ereignisse. Evidenzsicherheit niedrig bis sehr niedrig wegen kleiner Stichproben.</w:t>
      </w:r>
    </w:p>
    <w:p>
      <w:r>
        <w:rPr>
          <w:b/>
          <w:sz w:val="19"/>
        </w:rPr>
        <w:t xml:space="preserve">Übertragbarkeit: </w:t>
      </w:r>
      <w:r>
        <w:rPr>
          <w:sz w:val="19"/>
        </w:rPr>
        <w:t>Evidenz aus RCTs, aber kleine Fallzahlen; sIPV-Zulassung in Deutschland prüfen</w:t>
      </w:r>
    </w:p>
    <w:p>
      <w:r>
        <w:rPr>
          <w:color w:val="5A7D3A"/>
          <w:sz w:val="18"/>
        </w:rPr>
        <w:t>https://pubmed.ncbi.nlm.nih.gov/42755970/</w:t>
      </w:r>
    </w:p>
    <w:p>
      <w:pPr>
        <w:pStyle w:val="Heading2"/>
      </w:pPr>
      <w:r>
        <w:t>mRNA-Impfung bei Post-COVID: Funktionelle Besserung unabhängig vom Impfstatus</w:t>
      </w:r>
    </w:p>
    <w:p>
      <w:r>
        <w:rPr>
          <w:i/>
          <w:color w:val="666666"/>
          <w:sz w:val="18"/>
        </w:rPr>
        <w:t>Pries P et al.  ·  Expert Rev Vaccines  ·  17.09.2026  ·  PMID 42755271</w:t>
      </w:r>
    </w:p>
    <w:p>
      <w:r>
        <w:t>Retrospektive Kohortenstudie zur Frage, ob mRNA-SARS-CoV-2-Impfungen bei Patienten mit Langzeit-COVID (PASC) Symptome verschlimmern oder die Genesung beeinträchtigen.</w:t>
      </w:r>
    </w:p>
    <w:p>
      <w:r>
        <w:rPr>
          <w:b/>
        </w:rPr>
        <w:t xml:space="preserve">Ergebnis: </w:t>
      </w:r>
      <w:r>
        <w:t>174 geimpfte und ungeimpfte PASC-Patienten zeigten nach 3–6 Monaten in beiden Gruppen signifikante Verbesserungen bei Müdigkeit und Leistungsfähigkeit; kein statistisch signifikanter Unterschied zwischen Gruppen. Die Studie findet keine Evidenz für eine Verschlechterung durch Impfung, kleinere Effekte sind aber nicht ausgeschlossen.</w:t>
      </w:r>
    </w:p>
    <w:p>
      <w:r>
        <w:rPr>
          <w:b/>
          <w:sz w:val="19"/>
        </w:rPr>
        <w:t xml:space="preserve">Übertragbarkeit: </w:t>
      </w:r>
      <w:r>
        <w:rPr>
          <w:sz w:val="19"/>
        </w:rPr>
        <w:t>Deutschland, vergleichbare Gesundheitssysteme, ambulante Langzeit-COVID-Versorgung</w:t>
      </w:r>
    </w:p>
    <w:p>
      <w:r>
        <w:rPr>
          <w:color w:val="5A7D3A"/>
          <w:sz w:val="18"/>
        </w:rPr>
        <w:t>https://pubmed.ncbi.nlm.nih.gov/42755271/</w:t>
      </w:r>
    </w:p>
    <w:p>
      <w:pPr>
        <w:pStyle w:val="Heading2"/>
      </w:pPr>
      <w:r>
        <w:t>BCG-Immuntherapie bei Typ-1-Diabetes: Glukosemetabolismus korrigiert, HbA1c-Reduktion 8 Jahre stabil</w:t>
      </w:r>
    </w:p>
    <w:p>
      <w:r>
        <w:rPr>
          <w:i/>
          <w:color w:val="666666"/>
          <w:sz w:val="18"/>
        </w:rPr>
        <w:t>Faustman DL et al.  ·  Cells  ·  03.09.2026  ·  PMID 42738899</w:t>
      </w:r>
    </w:p>
    <w:p>
      <w:r>
        <w:t>Übersichtsarbeit zu klinischen Studien und mechanistischen Arbeiten über multi-Dosis-BCG-Immuntherapie bei Typ-1-Diabetes (T1D) und latent autoimmune diabetes in adults (LADA) über 15 Jahre.</w:t>
      </w:r>
    </w:p>
    <w:p>
      <w:r>
        <w:rPr>
          <w:b/>
        </w:rPr>
        <w:t xml:space="preserve">Ergebnis: </w:t>
      </w:r>
      <w:r>
        <w:t>T1D: Multiple klinische Studien zeigen stabile, wiederholte Reduktionen des HbA1c zu nahezu normalen Werten (vs. Placebo) für mindestens 8 Jahre, ohne Wiederherstellung der Pankreasfunction. Mechanismus: BCG-induzierte Korrektur von aerober Glykolyse-Defekten in lymphoiden/myeloiden Zellen → erhöhter Glukoseaufnahme nachgewiesen durch Langzeit-PET/CT. LADA: Minimale oder fehlende klinische Verbesserung; aber BCG reduziert Entzündung und fördert regulatorische T-Zellen. Epigenetische Umgestaltung ohne Genotyp-Änderung.</w:t>
      </w:r>
    </w:p>
    <w:p>
      <w:r>
        <w:rPr>
          <w:b/>
          <w:sz w:val="19"/>
        </w:rPr>
        <w:t xml:space="preserve">Übertragbarkeit: </w:t>
      </w:r>
      <w:r>
        <w:rPr>
          <w:sz w:val="19"/>
        </w:rPr>
        <w:t>USA-Studien mit deutschen Kliniken; Diabetes-Versorgung übertragbar</w:t>
      </w:r>
    </w:p>
    <w:p>
      <w:r>
        <w:rPr>
          <w:color w:val="5A7D3A"/>
          <w:sz w:val="18"/>
        </w:rPr>
        <w:t>https://pubmed.ncbi.nlm.nih.gov/42738899/</w:t>
      </w:r>
    </w:p>
    <w:p>
      <w:pPr>
        <w:pStyle w:val="Heading2"/>
      </w:pPr>
      <w:r>
        <w:t>BCG-Impfung bei Kindern: Genetische Varianten in Entzündungsproteinen zeigen Interaktion mit Impfantwort</w:t>
      </w:r>
    </w:p>
    <w:p>
      <w:r>
        <w:rPr>
          <w:i/>
          <w:color w:val="666666"/>
          <w:sz w:val="18"/>
        </w:rPr>
        <w:t>Boahen CK et al.  ·  Biomed Pharmacother  ·  13.08.2026  ·  PMID 42594746</w:t>
      </w:r>
    </w:p>
    <w:p>
      <w:r>
        <w:t>Genom-weites pQTL-Mapping (Protein-Quantitative-Trait-Loci) von 65 zirkulierenden Entzündungsproteinen bei Monat 13 post-BCG-Impfung in dänischen Kindern zur Identifikation genetischer Varianten, die die Immunantwort beeinflussen.</w:t>
      </w:r>
    </w:p>
    <w:p>
      <w:r>
        <w:rPr>
          <w:b/>
        </w:rPr>
        <w:t xml:space="preserve">Ergebnis: </w:t>
      </w:r>
      <w:r>
        <w:t>11 unabhängige genomweit signifikante Loci identifiziert. Vier pQTL zeigten Evidenz für Genotyp-by-BCG-Interaktionen (rs10217747: CXCL11, rs13187850: CD6, rs56283092: LAP-TGF-β1, rs11708321: CDCP1) mit größeren Effektschätzungen in BCG-Gruppe. Diese Varianten wurden zuvor mit Entzündungs- und Autoimmun-Traits assoziiert. Befunde sind explorativ und hypothesengenerierend, erfordern weitere Validierung.</w:t>
      </w:r>
    </w:p>
    <w:p>
      <w:r>
        <w:rPr>
          <w:b/>
          <w:sz w:val="19"/>
        </w:rPr>
        <w:t xml:space="preserve">Übertragbarkeit: </w:t>
      </w:r>
      <w:r>
        <w:rPr>
          <w:sz w:val="19"/>
        </w:rPr>
        <w:t>Dänemark, Gesundheitssystem vergleichbar; nationale BCG-Impfquoten-Registry vorhanden</w:t>
      </w:r>
    </w:p>
    <w:p>
      <w:r>
        <w:rPr>
          <w:color w:val="5A7D3A"/>
          <w:sz w:val="18"/>
        </w:rPr>
        <w:t>https://pubmed.ncbi.nlm.nih.gov/42594746/</w:t>
      </w:r>
    </w:p>
    <w:p>
      <w:pPr>
        <w:pStyle w:val="Heading1"/>
      </w:pPr>
      <w:r>
        <w:t>Aufgenommen am 19.09.2026</w:t>
      </w:r>
    </w:p>
    <w:p>
      <w:pPr>
        <w:pStyle w:val="Heading2"/>
      </w:pPr>
      <w:r>
        <w:t>Maschinenlernen identifiziert Null-Dosis-Kinder in Subsahara-Afrika</w:t>
      </w:r>
    </w:p>
    <w:p>
      <w:r>
        <w:rPr>
          <w:i/>
          <w:color w:val="666666"/>
          <w:sz w:val="18"/>
        </w:rPr>
        <w:t>Endehabtu BF et al.  ·  BMJ Health Care Inform  ·  18.09.2026  ·  PMID 42759970</w:t>
      </w:r>
    </w:p>
    <w:p>
      <w:r>
        <w:t>Prädiktives Modellentwicklungs-Projekt mit Daten von 27 subsaharischen Ländern (Demographic Health Survey 2016–2024) zur Risikoidentifikation von Kindern ohne Impfung.</w:t>
      </w:r>
    </w:p>
    <w:p>
      <w:r>
        <w:rPr>
          <w:b/>
        </w:rPr>
        <w:t xml:space="preserve">Ergebnis: </w:t>
      </w:r>
      <w:r>
        <w:t>LightGBM-Modell zeigte beste Gesamtleistung: 80 % Genauigkeit, 91 % Sensitivität, AUROC 0,78. Wichtigste Prädiktoren: Entbindungsort, Geburtsvorkontakten, Mutter-Tetanus-Impfung, Haushaltsvermögen, mütterliche Bildung. Ermöglicht frühe Risikoidentifikation.</w:t>
      </w:r>
    </w:p>
    <w:p>
      <w:r>
        <w:rPr>
          <w:b/>
          <w:sz w:val="19"/>
        </w:rPr>
        <w:t xml:space="preserve">Übertragbarkeit: </w:t>
      </w:r>
      <w:r>
        <w:rPr>
          <w:sz w:val="19"/>
        </w:rPr>
        <w:t>Subsahara-Afrika, digitales Tooldesign auf Länder mit WHO DHSatz übertragbar.</w:t>
      </w:r>
    </w:p>
    <w:p>
      <w:r>
        <w:rPr>
          <w:color w:val="5A7D3A"/>
          <w:sz w:val="18"/>
        </w:rPr>
        <w:t>https://pubmed.ncbi.nlm.nih.gov/42759970/</w:t>
      </w:r>
    </w:p>
    <w:p>
      <w:pPr>
        <w:pStyle w:val="Heading2"/>
      </w:pPr>
      <w:r>
        <w:t>RSV-Impfeffektivität bei älteren Erwachsenen in den USA zeigt hohe Wirksamkeit</w:t>
      </w:r>
    </w:p>
    <w:p>
      <w:r>
        <w:rPr>
          <w:i/>
          <w:color w:val="666666"/>
          <w:sz w:val="18"/>
        </w:rPr>
        <w:t>Lu Y et al.  ·  JAMA Netw Open  ·  01.09.2026  ·  PMID 42758507</w:t>
      </w:r>
    </w:p>
    <w:p>
      <w:r>
        <w:t>Nationale Kohortenstudie zur klinischen Wirksamkeit zweier RSV-Impfstoffe bei Medicare-Patienten ab 65 Jahren in der ersten Saison nach Zulassung (August 2023 bis März 2024).</w:t>
      </w:r>
    </w:p>
    <w:p>
      <w:r>
        <w:rPr>
          <w:b/>
        </w:rPr>
        <w:t xml:space="preserve">Ergebnis: </w:t>
      </w:r>
      <w:r>
        <w:t>RSVPreF3+AS01 und RSVpreF hatten eine Effektivität von 81,8 % (95-%-KI 80,0–83,4 %) gegen RSV-bedingte Hospitalisierungen und 85,0 % gegen RSV-bedingte Todesfälle. Brand-spezifisch: RSVPreF3+AS01 79,9 %, RSVpreF 85,1 %. Bei immungeschwächten Personen 72,2 %. Wirksam über alle Altersgruppen ab 65 Jahren.</w:t>
      </w:r>
    </w:p>
    <w:p>
      <w:r>
        <w:rPr>
          <w:b/>
          <w:sz w:val="19"/>
        </w:rPr>
        <w:t xml:space="preserve">Übertragbarkeit: </w:t>
      </w:r>
      <w:r>
        <w:rPr>
          <w:sz w:val="19"/>
        </w:rPr>
        <w:t>Medicare-Daten, vergleichbare Dokumentationspflichten wie Deutschland.</w:t>
      </w:r>
    </w:p>
    <w:p>
      <w:r>
        <w:rPr>
          <w:color w:val="5A7D3A"/>
          <w:sz w:val="18"/>
        </w:rPr>
        <w:t>https://pubmed.ncbi.nlm.nih.gov/42758507/</w:t>
      </w:r>
    </w:p>
    <w:p>
      <w:pPr>
        <w:pStyle w:val="Heading2"/>
      </w:pPr>
      <w:r>
        <w:t>Impfbefürwortung durch Fachpersonal: Trainingseffekt bei Hebammen und Pflegekräften</w:t>
      </w:r>
    </w:p>
    <w:p>
      <w:r>
        <w:rPr>
          <w:i/>
          <w:color w:val="666666"/>
          <w:sz w:val="18"/>
        </w:rPr>
        <w:t>Tiryaki Ö  ·  Biomedica  ·  20.08.2026  ·  PMID 42757794</w:t>
      </w:r>
    </w:p>
    <w:p>
      <w:r>
        <w:t>Quasi-experimentelle Studie mit Vorher-Nachher-Messung zur Wirkung eines Impfaufklärungstrainings auf die Impfbefürwortung bei 249 Hebammen und Pflegekräften.</w:t>
      </w:r>
    </w:p>
    <w:p>
      <w:r>
        <w:rPr>
          <w:b/>
        </w:rPr>
        <w:t xml:space="preserve">Ergebnis: </w:t>
      </w:r>
      <w:r>
        <w:t>Vaccine Advocacy Scale für Kinderimpfungen stieg signifikant von 45,19 ± 2,85 vor auf 46,95 ± 1,99 Punkte nach dem Training (Wilcoxon p = 0,000). Effekt niedrig, aber statistisch robust; Ausgangsniveau bereits hoch.</w:t>
      </w:r>
    </w:p>
    <w:p>
      <w:r>
        <w:rPr>
          <w:b/>
          <w:sz w:val="19"/>
        </w:rPr>
        <w:t xml:space="preserve">Übertragbarkeit: </w:t>
      </w:r>
      <w:r>
        <w:rPr>
          <w:sz w:val="19"/>
        </w:rPr>
        <w:t>Türkisches Setting, Pflegekräfte-Schulung auf Deutschland übertragbar.</w:t>
      </w:r>
    </w:p>
    <w:p>
      <w:r>
        <w:rPr>
          <w:color w:val="5A7D3A"/>
          <w:sz w:val="18"/>
        </w:rPr>
        <w:t>https://pubmed.ncbi.nlm.nih.gov/42757794/</w:t>
      </w:r>
    </w:p>
    <w:p>
      <w:pPr>
        <w:pStyle w:val="Heading2"/>
      </w:pPr>
      <w:r>
        <w:t>RSVPreF3-Impfstoff bei älteren Chinesen immunogenetisch gleichwertig zu globaler Population</w:t>
      </w:r>
    </w:p>
    <w:p>
      <w:r>
        <w:rPr>
          <w:i/>
          <w:color w:val="666666"/>
          <w:sz w:val="18"/>
        </w:rPr>
        <w:t>Guo X et al.  ·  Front Immunol  ·  03.09.2026  ·  PMID 42756146</w:t>
      </w:r>
    </w:p>
    <w:p>
      <w:r>
        <w:t>Phase-3-Immunbrückungs-Studie zur Nichtunterlegenheit von RSVPreF3 bei ≥60-jährigen chinesischen Erwachsenen gegenüber internationaler Vergleichsgruppe (6 Länder).</w:t>
      </w:r>
    </w:p>
    <w:p>
      <w:r>
        <w:rPr>
          <w:b/>
        </w:rPr>
        <w:t xml:space="preserve">Ergebnis: </w:t>
      </w:r>
      <w:r>
        <w:t>Nichtunterlegenheitskriterien erfüllt: GMT-Verhältnisse für RSV-A/B 1,20/1,10 (akzeptabel ≤1,5), Seroresponse-Unterschiede 3,40 %/4,89 % (akzeptabel ≤10 %). RSV-A/B-Neutralisationstiter 5523/8073 ED60 (China), 6605/8286 (Ausland). Lokale Nebenwirkungen meist mild-moderat, Ernsthaftigkeit niedrig (0,2–0,3 % immune-vermittelt).</w:t>
      </w:r>
    </w:p>
    <w:p>
      <w:r>
        <w:rPr>
          <w:b/>
          <w:sz w:val="19"/>
        </w:rPr>
        <w:t xml:space="preserve">Übertragbarkeit: </w:t>
      </w:r>
      <w:r>
        <w:rPr>
          <w:sz w:val="19"/>
        </w:rPr>
        <w:t>China, aber Immunogenität-Ergebnis zur Globalität des Impfstoffs übertra gbar.</w:t>
      </w:r>
    </w:p>
    <w:p>
      <w:r>
        <w:rPr>
          <w:color w:val="5A7D3A"/>
          <w:sz w:val="18"/>
        </w:rPr>
        <w:t>https://pubmed.ncbi.nlm.nih.gov/42756146/</w:t>
      </w:r>
    </w:p>
    <w:p>
      <w:pPr>
        <w:pStyle w:val="Heading2"/>
      </w:pPr>
      <w:r>
        <w:t>Impfgerechtigkeit als Planungsprinzip: Lehren aus der COVID-19-Pandemie</w:t>
      </w:r>
    </w:p>
    <w:p>
      <w:r>
        <w:rPr>
          <w:i/>
          <w:color w:val="666666"/>
          <w:sz w:val="18"/>
        </w:rPr>
        <w:t>Ghafari M et al.  ·  Expert Rev Vaccines  ·  16.09.2026  ·  PMID 42750274</w:t>
      </w:r>
    </w:p>
    <w:p>
      <w:r>
        <w:t>Synthesearbeit von Literatur und Politikberichten zu globalen Impfstoff-Rollouts, insbesondere über Verteilungsszenarien, Beschaffung und dezentralisierte Herstellung.</w:t>
      </w:r>
    </w:p>
    <w:p>
      <w:r>
        <w:rPr>
          <w:b/>
        </w:rPr>
        <w:t xml:space="preserve">Ergebnis: </w:t>
      </w:r>
      <w:r>
        <w:t>COVID-19 zeigte: Schnelle Entwicklung ohne Gerechtigkeitsplanung schuf vermeidbare Schäden. Lösungen sind geografisch verteilte Herstellung, vorab vereinbarte epidemiologisch gesteuerte Zuteilung, transparente Datenaustausch und Neutralisierung kommerzieller Verzerrungen. Empfehlung: Institutionalisierte disaggregierte Berichterstattung und standardisierte Daten-Sharing.</w:t>
      </w:r>
    </w:p>
    <w:p>
      <w:r>
        <w:rPr>
          <w:b/>
          <w:sz w:val="19"/>
        </w:rPr>
        <w:t xml:space="preserve">Übertragbarkeit: </w:t>
      </w:r>
      <w:r>
        <w:rPr>
          <w:sz w:val="19"/>
        </w:rPr>
        <w:t>Europäisches und Schweizer System, Prinzipien auf DACH übertragbar.</w:t>
      </w:r>
    </w:p>
    <w:p>
      <w:r>
        <w:rPr>
          <w:color w:val="5A7D3A"/>
          <w:sz w:val="18"/>
        </w:rPr>
        <w:t>https://pubmed.ncbi.nlm.nih.gov/42750274/</w:t>
      </w:r>
    </w:p>
    <w:p>
      <w:pPr>
        <w:pStyle w:val="Heading2"/>
      </w:pPr>
      <w:r>
        <w:t>Inaktivierter Rotavirus-Impfstoff: Sicherheit und Immunogenität bei Kleinkindern</w:t>
      </w:r>
    </w:p>
    <w:p>
      <w:r>
        <w:rPr>
          <w:i/>
          <w:color w:val="666666"/>
          <w:sz w:val="18"/>
        </w:rPr>
        <w:t>Zhou Y et al.  ·  Nat Commun  ·  14.08.2026  ·  PMID 42733081</w:t>
      </w:r>
    </w:p>
    <w:p>
      <w:r>
        <w:t>Randomisierte, placebokontrollierte Phase-1-Studie zur Dosis-Eskalation von Rotavirus-Impfstoff bei 288 Kindern 2–71 Monate ohne vorherige Rotavirus-Impfung.</w:t>
      </w:r>
    </w:p>
    <w:p>
      <w:r>
        <w:rPr>
          <w:b/>
        </w:rPr>
        <w:t xml:space="preserve">Ergebnis: </w:t>
      </w:r>
      <w:r>
        <w:t>Keine impfstoffbezogenen SAEs; transiente Mild-bis-Mäßig-Fieber nur in Hochdosis-Säuglings-Gruppe (klinisch handhabbar). Neutralisierende Antikörper-GMT dose-abhängig erhöht. 3-Dosis-Säugling-Gruppe (320 EU): GMT 551,98 vs. 36,17 (Placebo), Serokonversionsrate 83,33 % vs. 10 %. 3-Dosis-Schema überlegen 2-Dosis.</w:t>
      </w:r>
    </w:p>
    <w:p>
      <w:r>
        <w:rPr>
          <w:b/>
          <w:sz w:val="19"/>
        </w:rPr>
        <w:t xml:space="preserve">Übertragbarkeit: </w:t>
      </w:r>
      <w:r>
        <w:rPr>
          <w:sz w:val="19"/>
        </w:rPr>
        <w:t>Chinesische Studie, Sicherheits- und Immunogenitätsdaten auf frühe Klinische Phasen übertragbar.</w:t>
      </w:r>
    </w:p>
    <w:p>
      <w:r>
        <w:rPr>
          <w:color w:val="5A7D3A"/>
          <w:sz w:val="18"/>
        </w:rPr>
        <w:t>https://pubmed.ncbi.nlm.nih.gov/42733081/</w:t>
      </w:r>
    </w:p>
    <w:p>
      <w:pPr>
        <w:pStyle w:val="Heading1"/>
      </w:pPr>
      <w:r>
        <w:t>Aufgenommen am 18.09.2026</w:t>
      </w:r>
    </w:p>
    <w:p>
      <w:pPr>
        <w:pStyle w:val="Heading2"/>
      </w:pPr>
      <w:r>
        <w:t>RSV-Hospitalisierungen vor Impfstoffeinführung: Altersgruppen und Datenlücken</w:t>
      </w:r>
    </w:p>
    <w:p>
      <w:r>
        <w:rPr>
          <w:i/>
          <w:color w:val="666666"/>
          <w:sz w:val="18"/>
        </w:rPr>
        <w:t>Imai-Boulter C et al.  ·  Med J Aust  ·  Sept. 2026  ·  PMID 42754405</w:t>
      </w:r>
    </w:p>
    <w:p>
      <w:r>
        <w:t>Retrospektive bevölkerungsbasierte Studie zur RSV-Krankheitslast in Australien vor Immunisierungsstart (2016–2019 Hospitalisierungen, 2023 Labor-Meldungen).</w:t>
      </w:r>
    </w:p>
    <w:p>
      <w:r>
        <w:rPr>
          <w:b/>
        </w:rPr>
        <w:t xml:space="preserve">Ergebnis: </w:t>
      </w:r>
      <w:r>
        <w:t>Hospitalisierungen bei &lt;3 Monaten alt: 4014/100000, bei ≥65 Jahren: 122/100000 (steigende Tendenz); 55 % der Bronchiolitiden mit ungeklärter Ursache; Labor-Meldungen höchst bei 6–11 Monaten (7778/100000). Zeigt Datenlücken bei Fallerfassung und Testfrequenz.</w:t>
      </w:r>
    </w:p>
    <w:p>
      <w:r>
        <w:rPr>
          <w:b/>
          <w:sz w:val="19"/>
        </w:rPr>
        <w:t xml:space="preserve">Übertragbarkeit: </w:t>
      </w:r>
      <w:r>
        <w:rPr>
          <w:sz w:val="19"/>
        </w:rPr>
        <w:t>Australien (Versorgungsdaten verfügbar); ähnliche Datenstrukturen in Deutschland schwächer (kein nationales Impfregister).</w:t>
      </w:r>
    </w:p>
    <w:p>
      <w:r>
        <w:rPr>
          <w:color w:val="5A7D3A"/>
          <w:sz w:val="18"/>
        </w:rPr>
        <w:t>https://pubmed.ncbi.nlm.nih.gov/42754405/</w:t>
      </w:r>
    </w:p>
    <w:p>
      <w:pPr>
        <w:pStyle w:val="Heading2"/>
      </w:pPr>
      <w:r>
        <w:t>MZB1-Spiegel sagen Langzeitschutz nach Hepatitis-B-Impfung voraus</w:t>
      </w:r>
    </w:p>
    <w:p>
      <w:r>
        <w:rPr>
          <w:i/>
          <w:color w:val="666666"/>
          <w:sz w:val="18"/>
        </w:rPr>
        <w:t>Huang ML et al.  ·  Front Immunol  ·  02.09.2026  ·  PMID 42751130</w:t>
      </w:r>
    </w:p>
    <w:p>
      <w:r>
        <w:t>Single-Cell-RNA-Seq plus nested case-control und Interventionsstudie zur Identifikation von B-Zell-Markern für stabilen Anti-HBs-Schutz.</w:t>
      </w:r>
    </w:p>
    <w:p>
      <w:r>
        <w:rPr>
          <w:b/>
        </w:rPr>
        <w:t xml:space="preserve">Ergebnis: </w:t>
      </w:r>
      <w:r>
        <w:t>MZB1 signifikant erhöht in B-Zellen von Langzeitschützer/innen (p=2,1e-12); Serum-MZB1 &gt;1000 mIU/ml nach 30 Jahren: 7,1±2,2 ng/ml vs. Anti-HBs-Negative: 0,96±0,1 ng/ml (p&lt;0,0001); MZB1 korreliert stark mit Anti-HBs-Titer (r=0,892). MZB1 schon nach 1. Dosis erhöht, VE besser bei hohen MZB1-Konzentrationen.</w:t>
      </w:r>
    </w:p>
    <w:p>
      <w:r>
        <w:rPr>
          <w:b/>
          <w:sz w:val="19"/>
        </w:rPr>
        <w:t xml:space="preserve">Übertragbarkeit: </w:t>
      </w:r>
      <w:r>
        <w:rPr>
          <w:sz w:val="19"/>
        </w:rPr>
        <w:t>China (Validierungskohorten mobil), Biomarker universal; kein nationales Vorteil, aber wissenschaftlich relevant.</w:t>
      </w:r>
    </w:p>
    <w:p>
      <w:r>
        <w:rPr>
          <w:color w:val="5A7D3A"/>
          <w:sz w:val="18"/>
        </w:rPr>
        <w:t>https://pubmed.ncbi.nlm.nih.gov/42751130/</w:t>
      </w:r>
    </w:p>
    <w:p>
      <w:pPr>
        <w:pStyle w:val="Heading2"/>
      </w:pPr>
      <w:r>
        <w:t>Wertaffirmation in Impfkampagnen: Small Effects auf Impfbereitschaft</w:t>
      </w:r>
    </w:p>
    <w:p>
      <w:r>
        <w:rPr>
          <w:i/>
          <w:color w:val="666666"/>
          <w:sz w:val="18"/>
        </w:rPr>
        <w:t>Wolsko C et al.  ·  PLoS One  ·  16.09.2026  ·  PMID 42748077</w:t>
      </w:r>
    </w:p>
    <w:p>
      <w:r>
        <w:t>Online-Befragung von 1170 Ungeimpften (USA, Frühjahr 2021) zu COVID-Impfbotschaften, die auf persönliche Werte ausgerichtet sind.</w:t>
      </w:r>
    </w:p>
    <w:p>
      <w:r>
        <w:rPr>
          <w:b/>
        </w:rPr>
        <w:t xml:space="preserve">Ergebnis: </w:t>
      </w:r>
      <w:r>
        <w:t>Botschaften, die Misstrauen in Regierung und Sorgen vor Freiheitsbeschränkung bestätigten, zeigten höhere Impfbereitschaft und mehr Vertrauen als Kontrolle; Effektgrößen klein, aber bedeutsam für Vaccine Hesitancy-Subgruppen.</w:t>
      </w:r>
    </w:p>
    <w:p>
      <w:r>
        <w:rPr>
          <w:b/>
          <w:sz w:val="19"/>
        </w:rPr>
        <w:t xml:space="preserve">Übertragbarkeit: </w:t>
      </w:r>
      <w:r>
        <w:rPr>
          <w:sz w:val="19"/>
        </w:rPr>
        <w:t>USA (Wertbetonung kulturabhängig); Kommunikationsstrategie prinzipiell übertragbar, aber Wertrahmen müssen regional angepasst werden.</w:t>
      </w:r>
    </w:p>
    <w:p>
      <w:r>
        <w:rPr>
          <w:color w:val="5A7D3A"/>
          <w:sz w:val="18"/>
        </w:rPr>
        <w:t>https://pubmed.ncbi.nlm.nih.gov/42748077/</w:t>
      </w:r>
    </w:p>
    <w:p>
      <w:pPr>
        <w:pStyle w:val="Heading2"/>
      </w:pPr>
      <w:r>
        <w:t>Impf-Fachkompetenz in Äthiopien schwach: nur 50 % erfüllen Mindeststandard</w:t>
      </w:r>
    </w:p>
    <w:p>
      <w:r>
        <w:rPr>
          <w:i/>
          <w:color w:val="666666"/>
          <w:sz w:val="18"/>
        </w:rPr>
        <w:t>Olani A et al.  ·  PLoS One  ·  15.09.2026  ·  PMID 42743175</w:t>
      </w:r>
    </w:p>
    <w:p>
      <w:r>
        <w:t>Observationale Studie mit Checklisten zur Impf-Fachkompetenz in 34 äthiopischen Gesundheitseinrichtungen.</w:t>
      </w:r>
    </w:p>
    <w:p>
      <w:r>
        <w:rPr>
          <w:b/>
        </w:rPr>
        <w:t xml:space="preserve">Ergebnis: </w:t>
      </w:r>
      <w:r>
        <w:t>340 Impfungen beobachtet; Gesamtkompetenz 50 % (Schwelle: 80 %); beste Leistung: Verabreichung (71 %), schlechteste: Dokumentation (22 %); Defizite in Infektionskontrolle und Patienten-Kommunikation. Lücke zwischen theoretischem Wissen und praktischer Umsetzung.</w:t>
      </w:r>
    </w:p>
    <w:p>
      <w:r>
        <w:rPr>
          <w:b/>
          <w:sz w:val="19"/>
        </w:rPr>
        <w:t xml:space="preserve">Übertragbarkeit: </w:t>
      </w:r>
      <w:r>
        <w:rPr>
          <w:sz w:val="19"/>
        </w:rPr>
        <w:t>Äthiopien (Niedrig-Ressourcen), begrenzte Übertragbarkeit; zeigt jedoch global relevante Schulungs- und Überwachungsdefizite.</w:t>
      </w:r>
    </w:p>
    <w:p>
      <w:r>
        <w:rPr>
          <w:color w:val="5A7D3A"/>
          <w:sz w:val="18"/>
        </w:rPr>
        <w:t>https://pubmed.ncbi.nlm.nih.gov/42743175/</w:t>
      </w:r>
    </w:p>
    <w:p>
      <w:pPr>
        <w:pStyle w:val="Heading2"/>
      </w:pPr>
      <w:r>
        <w:t>Ökologische Studien zu Impfeffekten könnten Versorgungsdaten für Deutschland liefern</w:t>
      </w:r>
    </w:p>
    <w:p>
      <w:r>
        <w:rPr>
          <w:i/>
          <w:color w:val="666666"/>
          <w:sz w:val="18"/>
        </w:rPr>
        <w:t>Nolting T et al.  ·  BMJ Open  ·  11.09.2026  ·  PMID 42731829</w:t>
      </w:r>
    </w:p>
    <w:p>
      <w:r>
        <w:t>Scoping Review, die ökologische Studien zu Impfeffektivität systematisieren soll, mit Fokus auf Deutschland.</w:t>
      </w:r>
    </w:p>
    <w:p>
      <w:r>
        <w:rPr>
          <w:b/>
        </w:rPr>
        <w:t xml:space="preserve">Ergebnis: </w:t>
      </w:r>
      <w:r>
        <w:t>Studienprotokoll ohne empirische Ergebnisse; zeigt einen Forschungsbedarf für vergleichende Analysen der Impfbeiträge zu Morbidität und Mortalität.</w:t>
      </w:r>
    </w:p>
    <w:p>
      <w:r>
        <w:rPr>
          <w:b/>
          <w:sz w:val="19"/>
        </w:rPr>
        <w:t xml:space="preserve">Übertragbarkeit: </w:t>
      </w:r>
      <w:r>
        <w:rPr>
          <w:sz w:val="19"/>
        </w:rPr>
        <w:t>Deutschland, zukünftige Datenquelle; Übertragbarkeit hängt von Verfügbarkeit von Routinedaten ab.</w:t>
      </w:r>
    </w:p>
    <w:p>
      <w:r>
        <w:rPr>
          <w:color w:val="5A7D3A"/>
          <w:sz w:val="18"/>
        </w:rPr>
        <w:t>https://pubmed.ncbi.nlm.nih.gov/42731829/</w:t>
      </w:r>
    </w:p>
    <w:p>
      <w:pPr>
        <w:pStyle w:val="Heading2"/>
      </w:pPr>
      <w:r>
        <w:t>Impfantwort bei Krebs und Immunsuppression: RESPONSE-Kohortenstudie</w:t>
      </w:r>
    </w:p>
    <w:p>
      <w:r>
        <w:rPr>
          <w:i/>
          <w:color w:val="666666"/>
          <w:sz w:val="18"/>
        </w:rPr>
        <w:t>Felipe Fumero E et al.  ·  JMIR Res Protoc  ·  23.07.2026  ·  PMID 42492070</w:t>
      </w:r>
    </w:p>
    <w:p>
      <w:r>
        <w:t>Prospektive Kohortenstudie zu humoralen und zellulären Reaktionen auf Atemwegs-Impfstoffe bei onkologischen Patienten, Rekrutierung seit März 2025 laufend.</w:t>
      </w:r>
    </w:p>
    <w:p>
      <w:r>
        <w:rPr>
          <w:b/>
        </w:rPr>
        <w:t xml:space="preserve">Ergebnis: </w:t>
      </w:r>
      <w:r>
        <w:t>Protokoll mit laufender Rekrutierung; Fokus auf frühe und späte Booster-Effekte. Finale Analysen ab Q3 2026 geplant; zielt auf T-Zell-Antworten, die bei dieser Gruppe zuverlässiger sind als Antikörper.</w:t>
      </w:r>
    </w:p>
    <w:p>
      <w:r>
        <w:rPr>
          <w:b/>
          <w:sz w:val="19"/>
        </w:rPr>
        <w:t xml:space="preserve">Übertragbarkeit: </w:t>
      </w:r>
      <w:r>
        <w:rPr>
          <w:sz w:val="19"/>
        </w:rPr>
        <w:t>Deutschland (Köln, Universitätsklinik), direkt übertragbar auf Versorgungsfragen bei Immunsuppression.</w:t>
      </w:r>
    </w:p>
    <w:p>
      <w:r>
        <w:rPr>
          <w:color w:val="5A7D3A"/>
          <w:sz w:val="18"/>
        </w:rPr>
        <w:t>https://pubmed.ncbi.nlm.nih.gov/42492070/</w:t>
      </w:r>
    </w:p>
    <w:p>
      <w:pPr>
        <w:pStyle w:val="Heading1"/>
      </w:pPr>
      <w:r>
        <w:t>Aufgenommen am 17.09.2026</w:t>
      </w:r>
    </w:p>
    <w:p>
      <w:pPr>
        <w:pStyle w:val="Heading2"/>
      </w:pPr>
      <w:r>
        <w:t>Gonorrhoe-Impfstoff: Modellierte Prävalenzreduktion in abgelegenem indigenem Australien</w:t>
      </w:r>
    </w:p>
    <w:p>
      <w:r>
        <w:rPr>
          <w:i/>
          <w:color w:val="666666"/>
          <w:sz w:val="18"/>
        </w:rPr>
        <w:t>Padeniya TN et al.  ·  Sex Health  ·  20.10.2026  ·  PMID 42749469</w:t>
      </w:r>
    </w:p>
    <w:p>
      <w:r>
        <w:t>Mathematisches Transmissionsmodell (individual-basiert) zur Analyse der Effektivität einer hypothetischen Gonorrhoe-Impfung in abgelegenen Gemeinden mit hoher Inzidenz bei 16–36-jährigen australischen Ureinwohnern.</w:t>
      </w:r>
    </w:p>
    <w:p>
      <w:r>
        <w:rPr>
          <w:b/>
        </w:rPr>
        <w:t xml:space="preserve">Ergebnis: </w:t>
      </w:r>
      <w:r>
        <w:t>Bei 5-Jahres-Nachverfolgung mit 40 % jährlicher Impfquote und Impfstoff mit 25–50 % Schutzwirksamkeit: relative Prävalenzreduktion 15–28 %. Bei 80 % Impfquote und 75 % Wirksamkeit: 95 % (5 Jahre) bis 98 % (10 Jahre) Reduktion. Auch mit partieller Wirksamkeit substantielle Prävalenzrückgänge möglich.</w:t>
      </w:r>
    </w:p>
    <w:p>
      <w:r>
        <w:rPr>
          <w:b/>
          <w:sz w:val="19"/>
        </w:rPr>
        <w:t xml:space="preserve">Übertragbarkeit: </w:t>
      </w:r>
      <w:r>
        <w:rPr>
          <w:sz w:val="19"/>
        </w:rPr>
        <w:t>Australien mit Registersystem und hoher Datenqualität, aber Bevölkerungszusammensetzung und epidemiologische Lage unterscheiden sich von Deutschland.</w:t>
      </w:r>
    </w:p>
    <w:p>
      <w:r>
        <w:rPr>
          <w:color w:val="5A7D3A"/>
          <w:sz w:val="18"/>
        </w:rPr>
        <w:t>https://pubmed.ncbi.nlm.nih.gov/42749469/</w:t>
      </w:r>
    </w:p>
    <w:p>
      <w:pPr>
        <w:pStyle w:val="Heading2"/>
      </w:pPr>
      <w:r>
        <w:t>Herpes-Zoster-Impfung: Wirksamkeit gegen Zoster, Ophthalmicus und postherpetische Neuralgie</w:t>
      </w:r>
    </w:p>
    <w:p>
      <w:r>
        <w:rPr>
          <w:i/>
          <w:color w:val="666666"/>
          <w:sz w:val="18"/>
        </w:rPr>
        <w:t>Heen E et al.  ·  Rev Med Virol  ·  Sept. 2026  ·  PMID 42748460</w:t>
      </w:r>
    </w:p>
    <w:p>
      <w:r>
        <w:t>Systematische Übersicht mit Metaanalyse von 18 Studien (3 RCT, 15 Beobachtungsstudien) zur Effektivität des Recombinant-Zoster-Impfstoffs (RZV) gegen Herpes zoster und Komplikationen in ≥50-Jährigen.</w:t>
      </w:r>
    </w:p>
    <w:p>
      <w:r>
        <w:rPr>
          <w:b/>
        </w:rPr>
        <w:t xml:space="preserve">Ergebnis: </w:t>
      </w:r>
      <w:r>
        <w:t>RZV zeigte in RCT 95 % Effektivität gegen Herpes zoster (hochgradig), substantielle Reduktion von Herpes-Zoster-Ophthalmicus (hochgradig), wahrscheinlich postherpetische Neuralgia (moderat). Durable Schutzwirkung mind. 11 Jahre nachgewiesen (niedrig bis moderat). Mögliche Assoziation mit reduziertem Demenzrisiko (niedrig, durch healthy-vaccinee-bias-Unsicherheit).</w:t>
      </w:r>
    </w:p>
    <w:p>
      <w:r>
        <w:rPr>
          <w:b/>
          <w:sz w:val="19"/>
        </w:rPr>
        <w:t xml:space="preserve">Übertragbarkeit: </w:t>
      </w:r>
      <w:r>
        <w:rPr>
          <w:sz w:val="19"/>
        </w:rPr>
        <w:t>Norwegen und Schweden, vergleichbare altersstrukturierte Bevölkerungen und Impfregister; Befunde direkt auf deutsches Zoster-Impfprogramm übertragbar.</w:t>
      </w:r>
    </w:p>
    <w:p>
      <w:r>
        <w:rPr>
          <w:color w:val="5A7D3A"/>
          <w:sz w:val="18"/>
        </w:rPr>
        <w:t>https://pubmed.ncbi.nlm.nih.gov/42748460/</w:t>
      </w:r>
    </w:p>
    <w:p>
      <w:pPr>
        <w:pStyle w:val="Heading2"/>
      </w:pPr>
      <w:r>
        <w:t>Kulturell angepasste HPV-Aufklärung und Impfintention in Saudi-Arabien</w:t>
      </w:r>
    </w:p>
    <w:p>
      <w:r>
        <w:rPr>
          <w:i/>
          <w:color w:val="666666"/>
          <w:sz w:val="18"/>
        </w:rPr>
        <w:t>Elsayed EA et al.  ·  JMIR Public Health Surveill  ·  16.09.2026  ·  PMID 42748422</w:t>
      </w:r>
    </w:p>
    <w:p>
      <w:r>
        <w:t>Quasi-experimentelle Studie (Prä-Post mit Kontrollgruppe, n=380) zur Wirkung einer 45-minütigen, an lokale Werte adaptierten Schulungsintervention auf HPV-Wissen, Gesundheitsbewusstsein und Impfbereitschaft.</w:t>
      </w:r>
    </w:p>
    <w:p>
      <w:r>
        <w:rPr>
          <w:b/>
        </w:rPr>
        <w:t xml:space="preserve">Ergebnis: </w:t>
      </w:r>
      <w:r>
        <w:t>In der Interventionsgruppe zeigte sich bei 3-Monats-Nachverfolgung gegenüber Kontrollen: Wissen (β=0,84, p&lt;0,001, d=0,45), Bewusstsein (β=0,88, p&lt;0,001, d=0,44), Einstellung (β=0,70, p&lt;0,001, d=0,38), Impfabsicht (β=0,86, p&lt;0,001, d=0,82, großer Effekt). Effekte über Altersgruppen, Bildung und Gesundheitskompetenz konsistent.</w:t>
      </w:r>
    </w:p>
    <w:p>
      <w:r>
        <w:rPr>
          <w:b/>
          <w:sz w:val="19"/>
        </w:rPr>
        <w:t xml:space="preserve">Übertragbarkeit: </w:t>
      </w:r>
      <w:r>
        <w:rPr>
          <w:sz w:val="19"/>
        </w:rPr>
        <w:t>Saudi-Arabien, begrenzt übertragbar, aber Modell für kulturell sensible Beratung in diversen deutschen Bevölkerungsgruppen.</w:t>
      </w:r>
    </w:p>
    <w:p>
      <w:r>
        <w:rPr>
          <w:color w:val="5A7D3A"/>
          <w:sz w:val="18"/>
        </w:rPr>
        <w:t>https://pubmed.ncbi.nlm.nih.gov/42748422/</w:t>
      </w:r>
    </w:p>
    <w:p>
      <w:pPr>
        <w:pStyle w:val="Heading2"/>
      </w:pPr>
      <w:r>
        <w:t>Personalisierte Neoantigen-Impfstoff-Therapie bei Kopf-Hals-Karzinom vermeidet Rezidive</w:t>
      </w:r>
    </w:p>
    <w:p>
      <w:r>
        <w:rPr>
          <w:i/>
          <w:color w:val="666666"/>
          <w:sz w:val="18"/>
        </w:rPr>
        <w:t>Ottensmeier C et al.  ·  Nat Commun  ·  17.08.2026  ·  PMID 42744798</w:t>
      </w:r>
    </w:p>
    <w:p>
      <w:r>
        <w:t>Randomisierte Phase-I-Studie (n=32) zur Adjuvans-Therapie mit TG4050, einem individualisierten viralen Neoantigen-Impfstoff mit bis zu 30 tumor-spezifischen Neoantigenen, nach Standard-Chemotherapie vs. abwartendem Vorgehen.</w:t>
      </w:r>
    </w:p>
    <w:p>
      <w:r>
        <w:rPr>
          <w:b/>
        </w:rPr>
        <w:t xml:space="preserve">Ergebnis: </w:t>
      </w:r>
      <w:r>
        <w:t>Unmittelbare TG4050-Gruppe: 0 von 16 Rezidive nach 30 Monaten Nachverfolgung; Kontrollgruppe: 3 von 16 Rezidive. T-Zell-Antworten gegen Neoantigen in 73,3 % detektiert (Median 3 Neoantigen pro Responder), persistent über 1 Jahr. Neoantigen-spezifische CD8+ T-Zellen zeigten Effektor- und geweberesidente Marker.</w:t>
      </w:r>
    </w:p>
    <w:p>
      <w:r>
        <w:rPr>
          <w:b/>
          <w:sz w:val="19"/>
        </w:rPr>
        <w:t xml:space="preserve">Übertragbarkeit: </w:t>
      </w:r>
      <w:r>
        <w:rPr>
          <w:sz w:val="19"/>
        </w:rPr>
        <w:t>Multinationale Studie (UK, Frankreich, Niederlande), übertragbar auf deutsches Klinikum mit entsprechender molekularer Tumorcharakterisierung.</w:t>
      </w:r>
    </w:p>
    <w:p>
      <w:r>
        <w:rPr>
          <w:color w:val="5A7D3A"/>
          <w:sz w:val="18"/>
        </w:rPr>
        <w:t>https://pubmed.ncbi.nlm.nih.gov/42744798/</w:t>
      </w:r>
    </w:p>
    <w:p>
      <w:pPr>
        <w:pStyle w:val="Heading2"/>
      </w:pPr>
      <w:r>
        <w:t>HPV-Impfung bei Erwachsenen 27–45 Jahren: Quote und Trends in USA</w:t>
      </w:r>
    </w:p>
    <w:p>
      <w:r>
        <w:rPr>
          <w:i/>
          <w:color w:val="666666"/>
          <w:sz w:val="18"/>
        </w:rPr>
        <w:t>Fisher-Borne M et al.  ·  Hum Vaccin Immunother  ·  10.09.2026  ·  PMID 42723147</w:t>
      </w:r>
    </w:p>
    <w:p>
      <w:r>
        <w:t>Retrospektive Auswertung kommerzieller Claims-Daten 2019–2023 zur HPV-Impfquote bei erwachsenen Frauen und Männern unter shared clinical decision-making.</w:t>
      </w:r>
    </w:p>
    <w:p>
      <w:r>
        <w:rPr>
          <w:b/>
        </w:rPr>
        <w:t xml:space="preserve">Ergebnis: </w:t>
      </w:r>
      <w:r>
        <w:t>Annual HPV-Impfinitiation stieg von 0,21 % (2019) auf 0,54 % (2023); kumulativ über 5 Jahre 0,84 % bei 3–4 Mio. jährlich ungeimpften Personen. Apotheken als Impfort nahmen zu, regionale Variation 0,23–1,56 %.</w:t>
      </w:r>
    </w:p>
    <w:p>
      <w:r>
        <w:rPr>
          <w:b/>
          <w:sz w:val="19"/>
        </w:rPr>
        <w:t xml:space="preserve">Übertragbarkeit: </w:t>
      </w:r>
      <w:r>
        <w:rPr>
          <w:sz w:val="19"/>
        </w:rPr>
        <w:t>USA mit grundlegend anderer Versicherungsstruktur; aber Befunde zur Rolle von Apotheken und regionaler Varianz relevant für Deutschland.</w:t>
      </w:r>
    </w:p>
    <w:p>
      <w:r>
        <w:rPr>
          <w:color w:val="5A7D3A"/>
          <w:sz w:val="18"/>
        </w:rPr>
        <w:t>https://pubmed.ncbi.nlm.nih.gov/42723147/</w:t>
      </w:r>
    </w:p>
    <w:p>
      <w:pPr>
        <w:pStyle w:val="Heading2"/>
      </w:pPr>
      <w:r>
        <w:t>Immunosuppression-Entzug und mRNA-Impfung bei Nierentransplantierten</w:t>
      </w:r>
    </w:p>
    <w:p>
      <w:r>
        <w:rPr>
          <w:i/>
          <w:color w:val="666666"/>
          <w:sz w:val="18"/>
        </w:rPr>
        <w:t>Goerlich N et al.  ·  Front Immunol  ·  17.08.2026  ·  PMID 42676352</w:t>
      </w:r>
    </w:p>
    <w:p>
      <w:r>
        <w:t>Hochdimensionale Analyse der Immunzellkomposition bei Nierentransplantierten unter temporärem Mycophenolsäure-Entzug während mRNA-1273-Impfung.</w:t>
      </w:r>
    </w:p>
    <w:p>
      <w:r>
        <w:rPr>
          <w:b/>
        </w:rPr>
        <w:t xml:space="preserve">Ergebnis: </w:t>
      </w:r>
      <w:r>
        <w:t>Mycophenolsäure-Entzug war assoziiert mit erhöhten CD4+/CD8+ T-Zell-Frequenzen (p=0,039 bzw. p=0,001) und verminderten Monozyten- und B-Zell-Frequenzen (p=0,014 bzw. p=0,023). Effekte variierten je nach Transplantationsdauer und Alter; kein einzelner Marker war prädiktiv für Serokonversion.</w:t>
      </w:r>
    </w:p>
    <w:p>
      <w:r>
        <w:rPr>
          <w:b/>
          <w:sz w:val="19"/>
        </w:rPr>
        <w:t xml:space="preserve">Übertragbarkeit: </w:t>
      </w:r>
      <w:r>
        <w:rPr>
          <w:sz w:val="19"/>
        </w:rPr>
        <w:t>Deutsche Klinikstudie, direkt übertragbar auf deutsches Transplantationssystem mit vergleichbarer Immunsuppression.</w:t>
      </w:r>
    </w:p>
    <w:p>
      <w:r>
        <w:rPr>
          <w:color w:val="5A7D3A"/>
          <w:sz w:val="18"/>
        </w:rPr>
        <w:t>https://pubmed.ncbi.nlm.nih.gov/42676352/</w:t>
      </w:r>
    </w:p>
    <w:p>
      <w:pPr>
        <w:pStyle w:val="Heading2"/>
      </w:pPr>
      <w:r>
        <w:t>IL-33 und sST2 nach Tdap-Booster-Impfung bei finnischen Kindern</w:t>
      </w:r>
    </w:p>
    <w:p>
      <w:r>
        <w:rPr>
          <w:i/>
          <w:color w:val="666666"/>
          <w:sz w:val="18"/>
        </w:rPr>
        <w:t>Anabe D et al.  ·  Cytokine  ·  13.08.2026  ·  PMID 42594457</w:t>
      </w:r>
    </w:p>
    <w:p>
      <w:r>
        <w:t>Longitudinale Untersuchung von Interleukin-33 und löslichem ST2 in Serum vor und nach Tdap-IPV-Booster-Impfung in unterschiedlichen Altersgruppen (7–70 Jahre).</w:t>
      </w:r>
    </w:p>
    <w:p>
      <w:r>
        <w:rPr>
          <w:b/>
        </w:rPr>
        <w:t xml:space="preserve">Ergebnis: </w:t>
      </w:r>
      <w:r>
        <w:t>IL-33 in 70 % der Fälle nicht nachweisbar. Serum-sST2 zeigte signifikanten Anstieg über 365 Tage (p&lt;0,001), mit höherem Ausgangswert bei jüngeren Altersgruppen. Keine Assoziation zwischen IL-33/sST2 und Impfantwort oder Zytokinen.</w:t>
      </w:r>
    </w:p>
    <w:p>
      <w:r>
        <w:rPr>
          <w:b/>
          <w:sz w:val="19"/>
        </w:rPr>
        <w:t xml:space="preserve">Übertragbarkeit: </w:t>
      </w:r>
      <w:r>
        <w:rPr>
          <w:sz w:val="19"/>
        </w:rPr>
        <w:t>Finnland, vergleichbares skandinavisches Gesundheitssystem und Register; etablierte Referenzwerte für präklinische Marker.</w:t>
      </w:r>
    </w:p>
    <w:p>
      <w:r>
        <w:rPr>
          <w:color w:val="5A7D3A"/>
          <w:sz w:val="18"/>
        </w:rPr>
        <w:t>https://pubmed.ncbi.nlm.nih.gov/42594457/</w:t>
      </w:r>
    </w:p>
    <w:p>
      <w:pPr>
        <w:pStyle w:val="Heading1"/>
      </w:pPr>
      <w:r>
        <w:t>Aufgenommen am 16.09.2026</w:t>
      </w:r>
    </w:p>
    <w:p>
      <w:pPr>
        <w:pStyle w:val="Heading2"/>
      </w:pPr>
      <w:r>
        <w:t>Digitale Assistenten für HPV-Impfung und Gebärmutterhalskrebs-Screening – was funktioniert?</w:t>
      </w:r>
    </w:p>
    <w:p>
      <w:r>
        <w:rPr>
          <w:i/>
          <w:color w:val="666666"/>
          <w:sz w:val="18"/>
        </w:rPr>
        <w:t>Umbetzhanova A et al.  ·  Front Public Health  ·  31.08.2026  ·  PMID 42741336</w:t>
      </w:r>
    </w:p>
    <w:p>
      <w:r>
        <w:t>Systematische Übersicht von 14 Studien (2016–2026) zur Frage, ob interaktive digitale Tools (Chatbots, Apps, Serious Games) HPV-Impfung und Gebärmutterhals-Screening erhöhen.</w:t>
      </w:r>
    </w:p>
    <w:p>
      <w:r>
        <w:rPr>
          <w:b/>
        </w:rPr>
        <w:t xml:space="preserve">Ergebnis: </w:t>
      </w:r>
      <w:r>
        <w:t>Chatbots zeigten vielversprechende Kurzzeit-Effekte auf Termin-Buchung (moderate Evidenz), aber hohe Abbruch-Quoten bei Mehrfach-Dosen. Theorie-basierte Apps erhöhten Zytologie-Inanspruchnahme kurzfristig (moderate Evidenz). Ein Serious Game korrelierte mit höheren CIN2+-Erkennungsraten, aber Confounding war schwerwiegend. Insgesamt: moderate Kurzzeit-Effekte, aber unzureichende Evidenz für Dauer.</w:t>
      </w:r>
    </w:p>
    <w:p>
      <w:r>
        <w:rPr>
          <w:b/>
          <w:sz w:val="19"/>
        </w:rPr>
        <w:t xml:space="preserve">Übertragbarkeit: </w:t>
      </w:r>
      <w:r>
        <w:rPr>
          <w:sz w:val="19"/>
        </w:rPr>
        <w:t>Mehrländer-Übersicht, digitale Hürden international ähnlich</w:t>
      </w:r>
    </w:p>
    <w:p>
      <w:r>
        <w:rPr>
          <w:color w:val="5A7D3A"/>
          <w:sz w:val="18"/>
        </w:rPr>
        <w:t>https://pubmed.ncbi.nlm.nih.gov/42741336/</w:t>
      </w:r>
    </w:p>
    <w:p>
      <w:pPr>
        <w:pStyle w:val="Heading2"/>
      </w:pPr>
      <w:r>
        <w:t>Impfen in Schulen: Was Schulkrankenpfleger in Colorado als Barrieren berichten</w:t>
      </w:r>
    </w:p>
    <w:p>
      <w:r>
        <w:rPr>
          <w:i/>
          <w:color w:val="666666"/>
          <w:sz w:val="18"/>
        </w:rPr>
        <w:t>Nienstedt L et al.  ·  J Sch Health  ·  Okt. 2026  ·  PMID 42740714</w:t>
      </w:r>
    </w:p>
    <w:p>
      <w:r>
        <w:t>Querschnittsbefragung von 368 Schulkrankenpflegern in Colorado 2024, ob und wie sie schulgebundene Impfaktionen (SAVEs) umsetzten.</w:t>
      </w:r>
    </w:p>
    <w:p>
      <w:r>
        <w:rPr>
          <w:b/>
        </w:rPr>
        <w:t xml:space="preserve">Ergebnis: </w:t>
      </w:r>
      <w:r>
        <w:t>Schulen ohne SAVEs nannten Mangel an Leitlinien (Top-3-Barriere), fehlende Personalzeit und mangelnde externe Partnerschaften als Haupthindernisse. In ländlichen Schulen rangierte Impf-Politisierung unter Top-Barrieren; in Schulen mit niedrigem Einkommen und Gymnasien war Zeitdruck dominant. Schulen mit SAVEs betont externe Partnerschaften und elterliches Vertrauen als Erfolsfaktoren.</w:t>
      </w:r>
    </w:p>
    <w:p>
      <w:r>
        <w:rPr>
          <w:b/>
          <w:sz w:val="19"/>
        </w:rPr>
        <w:t xml:space="preserve">Übertragbarkeit: </w:t>
      </w:r>
      <w:r>
        <w:rPr>
          <w:sz w:val="19"/>
        </w:rPr>
        <w:t>USA - nur Zugangswegs-Hürden übertragbar, nicht System</w:t>
      </w:r>
    </w:p>
    <w:p>
      <w:r>
        <w:rPr>
          <w:color w:val="5A7D3A"/>
          <w:sz w:val="18"/>
        </w:rPr>
        <w:t>https://pubmed.ncbi.nlm.nih.gov/42740714/</w:t>
      </w:r>
    </w:p>
    <w:p>
      <w:pPr>
        <w:pStyle w:val="Heading2"/>
      </w:pPr>
      <w:r>
        <w:t>Grippeschutz bei Älteren: Bildung und Umgebung beeinflussen Impfquote</w:t>
      </w:r>
    </w:p>
    <w:p>
      <w:r>
        <w:rPr>
          <w:i/>
          <w:color w:val="666666"/>
          <w:sz w:val="18"/>
        </w:rPr>
        <w:t>Zhang C et al.  ·  Zhonghua Yu Fang Yi Xue Za Zhi  ·  06.09.2026  ·  PMID 42736149</w:t>
      </w:r>
    </w:p>
    <w:p>
      <w:r>
        <w:t>Befragung von 700 Personen ≥60 Jahren in Shaanxi (China) 2025 zu Einflussfaktoren auf Grippeimpfung.</w:t>
      </w:r>
    </w:p>
    <w:p>
      <w:r>
        <w:rPr>
          <w:b/>
        </w:rPr>
        <w:t xml:space="preserve">Ergebnis: </w:t>
      </w:r>
      <w:r>
        <w:t>49,7% geimpft, 50,3% ungeimpft. Schutzfaktoren: Hochschulbildung (OR 2,77), Stadtwohnung (OR 1,94), hohes Infektionsrisiko-Bewusstsein (OR 4,89), Glaube an Impfnutzen (OR 10,96), Familie/Freunde mit Impfgeschichte (OR 5,07). Bildung und soziales Umfeld sind stärkste Prädiktoren – nicht Zugang allein.</w:t>
      </w:r>
    </w:p>
    <w:p>
      <w:r>
        <w:rPr>
          <w:b/>
          <w:sz w:val="19"/>
        </w:rPr>
        <w:t xml:space="preserve">Übertragbarkeit: </w:t>
      </w:r>
      <w:r>
        <w:rPr>
          <w:sz w:val="19"/>
        </w:rPr>
        <w:t>China - Befund zu Risiko-Wahrnehmung und Vertrauen transnational relevant</w:t>
      </w:r>
    </w:p>
    <w:p>
      <w:r>
        <w:rPr>
          <w:color w:val="5A7D3A"/>
          <w:sz w:val="18"/>
        </w:rPr>
        <w:t>https://pubmed.ncbi.nlm.nih.gov/42736149/</w:t>
      </w:r>
    </w:p>
    <w:p>
      <w:pPr>
        <w:pStyle w:val="Heading2"/>
      </w:pPr>
      <w:r>
        <w:t>RSV-Impfung in der Schwangerschaft und Frühgeburtsrisiko: Metaanalyse</w:t>
      </w:r>
    </w:p>
    <w:p>
      <w:r>
        <w:rPr>
          <w:i/>
          <w:color w:val="666666"/>
          <w:sz w:val="18"/>
        </w:rPr>
        <w:t>Leskinen N et al.  ·  Immun Inflamm Dis  ·  Sept. 2026  ·  PMID 42712161</w:t>
      </w:r>
    </w:p>
    <w:p>
      <w:r>
        <w:t>Metaanalyse von 7 Studien (3 RCTs, 4 Beobachtungsstudien; insgesamt ~17.000 Geburten) zur Frage, ob mütterliche RSV-PreF-Impfung Frühgeburten oder NICU-Aufnahmen erhöht.</w:t>
      </w:r>
    </w:p>
    <w:p>
      <w:r>
        <w:rPr>
          <w:b/>
        </w:rPr>
        <w:t xml:space="preserve">Ergebnis: </w:t>
      </w:r>
      <w:r>
        <w:t>RCTs zeigten erhöhtes Frühgeburtsrisiko (RR 1,26, 95%-KI 1,08–1,46); Beobachtungsstudien nicht (RR 0,78, 95%-KI 0,46–1,32). Gepoolte Analyse: kein Gesamteffekt (RR 0,96, 95%-KI 0,68–1,38). NICU-Aufnahme nicht erhöht (RR 0,74). Evidenzsicherheit niedrig bis sehr niedrig; Überwachung empfohlen.</w:t>
      </w:r>
    </w:p>
    <w:p>
      <w:r>
        <w:rPr>
          <w:b/>
          <w:sz w:val="19"/>
        </w:rPr>
        <w:t xml:space="preserve">Übertragbarkeit: </w:t>
      </w:r>
      <w:r>
        <w:rPr>
          <w:sz w:val="19"/>
        </w:rPr>
        <w:t>Mehrländer-Studie, übertragbar auf europaähnliche Settings</w:t>
      </w:r>
    </w:p>
    <w:p>
      <w:r>
        <w:rPr>
          <w:color w:val="5A7D3A"/>
          <w:sz w:val="18"/>
        </w:rPr>
        <w:t>https://pubmed.ncbi.nlm.nih.gov/42712161/</w:t>
      </w:r>
    </w:p>
    <w:p>
      <w:pPr>
        <w:pStyle w:val="Heading2"/>
      </w:pPr>
      <w:r>
        <w:t>Auffrischimpfung gegen JN.1-Variante aktiviert neue B-Zell-Subpopulationen</w:t>
      </w:r>
    </w:p>
    <w:p>
      <w:r>
        <w:rPr>
          <w:i/>
          <w:color w:val="666666"/>
          <w:sz w:val="18"/>
        </w:rPr>
        <w:t>Stankov MV et al.  ·  Nat Commun  ·  24.07.2026  ·  PMID 42498786</w:t>
      </w:r>
    </w:p>
    <w:p>
      <w:r>
        <w:t>Deutsche Längsschnittstudie (n=42, überwiegend mehrfach Geimpfte und Infizierte) untersuchte, wie JN.1-adaptierte mRNA-Booster die Antikörper- und B-Zell-Antwort verändern.</w:t>
      </w:r>
    </w:p>
    <w:p>
      <w:r>
        <w:rPr>
          <w:b/>
        </w:rPr>
        <w:t xml:space="preserve">Ergebnis: </w:t>
      </w:r>
      <w:r>
        <w:t>IgG-Bindung und Neutralisierungstiter gegen JN.1 stiegen; Antigen-spezifische Memory-B-Zellen zeigten durch Mutationen (somatic hypermutation) verbesserte JN.1-Bindung, ohne dass neue naive B-Zellen massiv rekrutiert wurden. Effekt: Reifung vorbestehender Memory-B-Zellen statt Neuausrichtung.</w:t>
      </w:r>
    </w:p>
    <w:p>
      <w:r>
        <w:rPr>
          <w:b/>
          <w:sz w:val="19"/>
        </w:rPr>
        <w:t xml:space="preserve">Übertragbarkeit: </w:t>
      </w:r>
      <w:r>
        <w:rPr>
          <w:sz w:val="19"/>
        </w:rPr>
        <w:t>Deutschland, vergleichbare Impfstrategie und Dokumentation</w:t>
      </w:r>
    </w:p>
    <w:p>
      <w:r>
        <w:rPr>
          <w:color w:val="5A7D3A"/>
          <w:sz w:val="18"/>
        </w:rPr>
        <w:t>https://pubmed.ncbi.nlm.nih.gov/42498786/</w:t>
      </w:r>
    </w:p>
    <w:p>
      <w:pPr>
        <w:pStyle w:val="Heading2"/>
      </w:pPr>
      <w:r>
        <w:t>CAR-T-Therapien in Europa: Axicabtagene vs. Tisagenlecleucel bei großzelligem Lymphom</w:t>
      </w:r>
    </w:p>
    <w:p>
      <w:r>
        <w:rPr>
          <w:i/>
          <w:color w:val="666666"/>
          <w:sz w:val="18"/>
        </w:rPr>
        <w:t>Li H et al.  ·  PeerJ  ·  06.07.2026  ·  PMID 42428526</w:t>
      </w:r>
    </w:p>
    <w:p>
      <w:r>
        <w:t>Systematische Übersicht von 8 europäischen Kohortenstudien mit 2.178 Patienten verglich Wirksamkeit und Toxizität zweier CAR-T-Produkte gegen diffuses großzelliges B-Zell-Lymphom.</w:t>
      </w:r>
    </w:p>
    <w:p>
      <w:r>
        <w:rPr>
          <w:b/>
        </w:rPr>
        <w:t xml:space="preserve">Ergebnis: </w:t>
      </w:r>
      <w:r>
        <w:t>Axicabtagene zeigte höhere 3-Monats-Ansprechquoten (signifikant, p nicht genannt), aber niedrigere 12-Monats-progressionsfreie Überlebensraten; höhere Raten für Zytokinfreibsetzungssyndrom und neurotoxisches Syndrom (ICANS) alle Grade sowie Grade ≥3 ICANS, häufigere Tocilizumab-Gabe. Unter europäischen Alltagsbedingungen zeigt sich ein Wirksamkeits-Toxizitäts-Trade-off.</w:t>
      </w:r>
    </w:p>
    <w:p>
      <w:r>
        <w:rPr>
          <w:b/>
          <w:sz w:val="19"/>
        </w:rPr>
        <w:t xml:space="preserve">Übertragbarkeit: </w:t>
      </w:r>
      <w:r>
        <w:rPr>
          <w:sz w:val="19"/>
        </w:rPr>
        <w:t>Europa - acht Kohorten, vergleichbares Versicherungssystem</w:t>
      </w:r>
    </w:p>
    <w:p>
      <w:r>
        <w:rPr>
          <w:color w:val="5A7D3A"/>
          <w:sz w:val="18"/>
        </w:rPr>
        <w:t>https://pubmed.ncbi.nlm.nih.gov/42428526/</w:t>
      </w:r>
    </w:p>
    <w:p>
      <w:pPr>
        <w:pStyle w:val="Heading1"/>
      </w:pPr>
      <w:r>
        <w:t>Aufgenommen am 15.09.2026</w:t>
      </w:r>
    </w:p>
    <w:p>
      <w:pPr>
        <w:pStyle w:val="Heading2"/>
      </w:pPr>
      <w:r>
        <w:t>COVID-19-Pandemie verbesserte Wissen und Einstellung zur Polioimpfung in Pakistan</w:t>
      </w:r>
    </w:p>
    <w:p>
      <w:r>
        <w:rPr>
          <w:i/>
          <w:color w:val="666666"/>
          <w:sz w:val="18"/>
        </w:rPr>
        <w:t>Ullah A et al.  ·  East Mediterr Health J  ·  03.09.2026  ·  PMID 42734198</w:t>
      </w:r>
    </w:p>
    <w:p>
      <w:r>
        <w:t>Querschnittsstudie mit 308 Eltern von Kindern unter fünf Jahren in Nord-Waziristan, Pakistan (Januar bis April 2025) zum Wissensstand über Polioimpfung vor und nach COVID-19.</w:t>
      </w:r>
    </w:p>
    <w:p>
      <w:r>
        <w:rPr>
          <w:b/>
        </w:rPr>
        <w:t xml:space="preserve">Ergebnis: </w:t>
      </w:r>
      <w:r>
        <w:t>Mittlere Wissenspunktzahl stieg von 6,2±2,3 (vor COVID-19) auf 8,3±2,1 (nach COVID-19; p&lt;0,0001). Gutes Wissen (Punktzahl ≥9) nahm von 36,3 % auf 58,7 % zu, Fehlvorstellungen sanken von 64,9 % auf 35,1 %. Empfehlungen von Fachpersonal (85 %), Social-Media-Kampagnen (76 %) und Verfechter religiöser Führer (55 %) trugen zur Verbesserung bei.</w:t>
      </w:r>
    </w:p>
    <w:p>
      <w:r>
        <w:rPr>
          <w:b/>
          <w:sz w:val="19"/>
        </w:rPr>
        <w:t xml:space="preserve">Übertragbarkeit: </w:t>
      </w:r>
      <w:r>
        <w:rPr>
          <w:sz w:val="19"/>
        </w:rPr>
        <w:t>Pakistan – Impfakzeptanz-Befunde, aber anderes Gesundheitssystem</w:t>
      </w:r>
    </w:p>
    <w:p>
      <w:r>
        <w:rPr>
          <w:color w:val="5A7D3A"/>
          <w:sz w:val="18"/>
        </w:rPr>
        <w:t>https://pubmed.ncbi.nlm.nih.gov/42734198/</w:t>
      </w:r>
    </w:p>
    <w:p>
      <w:pPr>
        <w:pStyle w:val="Heading2"/>
      </w:pPr>
      <w:r>
        <w:t>Herpes Zoster-Impfstoff LZ901 schützt 91,6 Prozent der Geimpften vor Erkrankung</w:t>
      </w:r>
    </w:p>
    <w:p>
      <w:r>
        <w:rPr>
          <w:i/>
          <w:color w:val="666666"/>
          <w:sz w:val="18"/>
        </w:rPr>
        <w:t>Jin P et al.  ·  Nat Commun  ·  07.08.2026  ·  PMID 42733065</w:t>
      </w:r>
    </w:p>
    <w:p>
      <w:r>
        <w:t>Randomisierte, placebokontrollierte Phase-3-Studie zur Wirksamkeit und Sicherheit des Herpes-Zoster-Impfstoffs LZ901 (rekombinante gE-Fc-Fusionprotein) bei 26 018 Erwachsenen ab 40 Jahren über 12 Monate.</w:t>
      </w:r>
    </w:p>
    <w:p>
      <w:r>
        <w:rPr>
          <w:b/>
        </w:rPr>
        <w:t xml:space="preserve">Ergebnis: </w:t>
      </w:r>
      <w:r>
        <w:t>Impfeffektivität gegen Herpes Zoster 91,6 % (95%-KI 86,3–95,3; p&lt;0,001); bei 40–69 Jahren 93,9 %, bei ≥70 Jahren 66,9 %. Gegen Post-Zoster-Neuralgie 95,9 % (95%-KI 63,9–99,9). Injektionsstellen- und systemische Reaktionen erhöht, Grad-3-Reaktionen selten (0,3 % vs. 0,4 % Placebo), keine schwerwiegenden unerwünschten Ereignisse.</w:t>
      </w:r>
    </w:p>
    <w:p>
      <w:r>
        <w:rPr>
          <w:b/>
          <w:sz w:val="19"/>
        </w:rPr>
        <w:t xml:space="preserve">Übertragbarkeit: </w:t>
      </w:r>
      <w:r>
        <w:rPr>
          <w:sz w:val="19"/>
        </w:rPr>
        <w:t>China, vergleichbare epidemiologische Zielgruppe und klinische Endpunkte</w:t>
      </w:r>
    </w:p>
    <w:p>
      <w:r>
        <w:rPr>
          <w:color w:val="5A7D3A"/>
          <w:sz w:val="18"/>
        </w:rPr>
        <w:t>https://pubmed.ncbi.nlm.nih.gov/42733065/</w:t>
      </w:r>
    </w:p>
    <w:p>
      <w:pPr>
        <w:pStyle w:val="Heading2"/>
      </w:pPr>
      <w:r>
        <w:t>Verständnis der Herpes-Zoster-Erkrankung steigert Impfquote bei älteren Erwachsenen in China</w:t>
      </w:r>
    </w:p>
    <w:p>
      <w:r>
        <w:rPr>
          <w:i/>
          <w:color w:val="666666"/>
          <w:sz w:val="18"/>
        </w:rPr>
        <w:t>Bolanos R et al.  ·  Expert Rev Vaccines  ·  12.09.2026  ·  PMID 42728842</w:t>
      </w:r>
    </w:p>
    <w:p>
      <w:r>
        <w:t>Querschnittsstudie mit 1556 Bürgern ab 60 Jahren aus Shenzhen, China (August–Oktober 2024) zu psychosozialen und familiären Faktoren der Herpes-Zoster-Impfakzeptanz.</w:t>
      </w:r>
    </w:p>
    <w:p>
      <w:r>
        <w:rPr>
          <w:b/>
        </w:rPr>
        <w:t xml:space="preserve">Ergebnis: </w:t>
      </w:r>
      <w:r>
        <w:t>8,0 % der Teilnehmer waren geimpft. Besseres Verständnis (Kohärenz) war mit höherer Impfquote assoziiert (AOR 1,15; 95%-KI 1,07–1,24). Impfmüdigkeit korrelierte mit niedrigerer Quote (AOR 0,79; 95%-KI 0,62–0,99). Stark modifizierbare psychosoziale Faktoren identifiziert.</w:t>
      </w:r>
    </w:p>
    <w:p>
      <w:r>
        <w:rPr>
          <w:b/>
          <w:sz w:val="19"/>
        </w:rPr>
        <w:t xml:space="preserve">Übertragbarkeit: </w:t>
      </w:r>
      <w:r>
        <w:rPr>
          <w:sz w:val="19"/>
        </w:rPr>
        <w:t>China – Versorgungskontext anderer, Impfskepsis-Mechanismen aber übertragbar</w:t>
      </w:r>
    </w:p>
    <w:p>
      <w:r>
        <w:rPr>
          <w:color w:val="5A7D3A"/>
          <w:sz w:val="18"/>
        </w:rPr>
        <w:t>https://pubmed.ncbi.nlm.nih.gov/42728842/</w:t>
      </w:r>
    </w:p>
    <w:p>
      <w:pPr>
        <w:pStyle w:val="Heading2"/>
      </w:pPr>
      <w:r>
        <w:t>Mobile-App zur HPV-Impfberatung erhöhte Impfrate bei Kindern auf 48 Prozent</w:t>
      </w:r>
    </w:p>
    <w:p>
      <w:r>
        <w:rPr>
          <w:i/>
          <w:color w:val="666666"/>
          <w:sz w:val="18"/>
        </w:rPr>
        <w:t>Cunningham-Erves J et al.  ·  JMIR Cancer  ·  09.09.2026  ·  PMID 42715554</w:t>
      </w:r>
    </w:p>
    <w:p>
      <w:r>
        <w:t>Pilot-RCT (Juni–September 2023) in zwei Stadtkliniken Tennessee mit 57 Eltern von Kindern 9–17 Jahren. HPVVaxFacts-App vermittelt tailorierte Impfaufklärung vor Klinikbesuch versus Ernährungsedukation (Aufmerksamkeitskontrolle).</w:t>
      </w:r>
    </w:p>
    <w:p>
      <w:r>
        <w:rPr>
          <w:b/>
        </w:rPr>
        <w:t xml:space="preserve">Ergebnis: </w:t>
      </w:r>
      <w:r>
        <w:t>HPV-Impfeinleitung Interventionsgruppe 48 %, Kontrollgruppe 17 % (Differenz 0,24; 95%-KI 0,03–0,46; p=0,01). Wissensgewinne und Besorgnis-Reduktion in der App-Gruppe größer, aber nicht statistisch signifikant (p=0,13 und p=0,14). 81 % der Eltern nutzten die App, Mehrheit fand Protokoll und App akzeptabel.</w:t>
      </w:r>
    </w:p>
    <w:p>
      <w:r>
        <w:rPr>
          <w:b/>
          <w:sz w:val="19"/>
        </w:rPr>
        <w:t xml:space="preserve">Übertragbarkeit: </w:t>
      </w:r>
      <w:r>
        <w:rPr>
          <w:sz w:val="19"/>
        </w:rPr>
        <w:t>USA – Impfakzeptanz-Intervention, transferierbar nur für Designprinzipien</w:t>
      </w:r>
    </w:p>
    <w:p>
      <w:r>
        <w:rPr>
          <w:color w:val="5A7D3A"/>
          <w:sz w:val="18"/>
        </w:rPr>
        <w:t>https://pubmed.ncbi.nlm.nih.gov/42715554/</w:t>
      </w:r>
    </w:p>
    <w:p>
      <w:pPr>
        <w:pStyle w:val="Heading2"/>
      </w:pPr>
      <w:r>
        <w:t>Altersabhängige Immunabläufe erklären unterschiedliche Influenza-Impfwirksamkeit über Lebensalter</w:t>
      </w:r>
    </w:p>
    <w:p>
      <w:r>
        <w:rPr>
          <w:i/>
          <w:color w:val="666666"/>
          <w:sz w:val="18"/>
        </w:rPr>
        <w:t>Liu J et al.  ·  Front Immunol  ·  24.08.2026  ·  PMID 42707705</w:t>
      </w:r>
    </w:p>
    <w:p>
      <w:r>
        <w:t>Narrativer Review zu Einflussfaktoren des Alters auf Influenza-Impfeffektivität und zu lebensalter-spezifischen Immunmechanismen von der Entwicklung über Reifung bis zur Immunoseneszenz.</w:t>
      </w:r>
    </w:p>
    <w:p>
      <w:r>
        <w:rPr>
          <w:b/>
        </w:rPr>
        <w:t xml:space="preserve">Ergebnis: </w:t>
      </w:r>
      <w:r>
        <w:t>Influenza-Impfeffektivität zeigt erhebliche altersabhängige Heterogenität. Immun-Remodellierung über die Lebensspanne prägt Vakzin-Reaktionen. Review schlägt altersgerechte Impfstoff-Optimierungsstrategie vor: spezifische Formulierungen für Kinder, Erwachsene und ältere Menschen statt ‚one-dose-fits-all'-Modell. Theoretische Grundlage für Präzisions-Impfparadigma gelegt.</w:t>
      </w:r>
    </w:p>
    <w:p>
      <w:r>
        <w:rPr>
          <w:b/>
          <w:sz w:val="19"/>
        </w:rPr>
        <w:t xml:space="preserve">Übertragbarkeit: </w:t>
      </w:r>
      <w:r>
        <w:rPr>
          <w:sz w:val="19"/>
        </w:rPr>
        <w:t>China (Institut), aber Immunologie-Mechanismen universal</w:t>
      </w:r>
    </w:p>
    <w:p>
      <w:r>
        <w:rPr>
          <w:color w:val="5A7D3A"/>
          <w:sz w:val="18"/>
        </w:rPr>
        <w:t>https://pubmed.ncbi.nlm.nih.gov/42707705/</w:t>
      </w:r>
    </w:p>
    <w:p>
      <w:pPr>
        <w:pStyle w:val="Heading2"/>
      </w:pPr>
      <w:r>
        <w:t>23-valente Pneumokokken-Polysaccharidimpfung senkte ambulante Pneumonie um knapp 20 Prozent</w:t>
      </w:r>
    </w:p>
    <w:p>
      <w:r>
        <w:rPr>
          <w:i/>
          <w:color w:val="666666"/>
          <w:sz w:val="18"/>
        </w:rPr>
        <w:t>Vernooij FS et al.  ·  Epidemiol Infect  ·  23.07.2026  ·  PMID 42487216</w:t>
      </w:r>
    </w:p>
    <w:p>
      <w:r>
        <w:t>Regression-Discontinuity-Analyse der Wirkung der PPV23-Impfung auf nicht-invasive Pneumokokken-Pneumonie bei Erwachsenen über 60 Jahren in den Niederlanden zwischen 2016 und 2023.</w:t>
      </w:r>
    </w:p>
    <w:p>
      <w:r>
        <w:rPr>
          <w:b/>
        </w:rPr>
        <w:t xml:space="preserve">Ergebnis: </w:t>
      </w:r>
      <w:r>
        <w:t>Gesamtwirksamkeit 19,7 % (95%-KI 8,5–29,7). Die Schutzwirkung nahm über die Zeit seit Impfberechtigung ab, blieb aber auch nach drei Jahren deutlich vorhanden. Daten aus 14 Laboren mit geschätzter Abdeckung von 34,9 % der niederländischen Bevölkerung.</w:t>
      </w:r>
    </w:p>
    <w:p>
      <w:r>
        <w:rPr>
          <w:b/>
          <w:sz w:val="19"/>
        </w:rPr>
        <w:t xml:space="preserve">Übertragbarkeit: </w:t>
      </w:r>
      <w:r>
        <w:rPr>
          <w:sz w:val="19"/>
        </w:rPr>
        <w:t>Niederlande, vergleichbares Versicherungssystem und Laborregister</w:t>
      </w:r>
    </w:p>
    <w:p>
      <w:r>
        <w:rPr>
          <w:color w:val="5A7D3A"/>
          <w:sz w:val="18"/>
        </w:rPr>
        <w:t>https://pubmed.ncbi.nlm.nih.gov/42487216/</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Dengue- und Chikungunya-Impfstoffe: Verfügbarkeit ungleich Erreichen von Risikogruppen</w:t>
      </w:r>
    </w:p>
    <w:p>
      <w:r>
        <w:rPr>
          <w:i/>
          <w:color w:val="666666"/>
          <w:sz w:val="18"/>
        </w:rPr>
        <w:t>La Porta CAM et al.  ·  Open Res Eur  ·  22.08.2026  ·  PMID 42728936</w:t>
      </w:r>
    </w:p>
    <w:p>
      <w:r>
        <w:t>Übersichtsarbeit zu Lücken zwischen Impfstoff-Zulassung/globaler Verfügbarkeit und epidemiologischer Risikoverbreitung sowie inkonsistentem Eintrag in nationale Impfprogramme.</w:t>
      </w:r>
    </w:p>
    <w:p>
      <w:r>
        <w:rPr>
          <w:b/>
        </w:rPr>
        <w:t xml:space="preserve">Ergebnis: </w:t>
      </w:r>
      <w:r>
        <w:t>Erhebliche Diskrepanzen zwischen geografischen Regionen mit regulatorischer Zulassung und Zonen höchster epidemiologischer Belastung (Dengue, Chikungunya). Nationale Impfprogramm-Inklusion fragmentarisch. Aktuelle Strategien reaktiv, unzureichend an Transmissionsmuster und Gesundheitssystem-Kapazität angepasst. Bedarf: Präparedness-orientierte Frameworks für zeitgerechte Einführung, nachhaltige Abdeckung, risikoadaptives Deployment.</w:t>
      </w:r>
    </w:p>
    <w:p>
      <w:r>
        <w:rPr>
          <w:b/>
          <w:sz w:val="19"/>
        </w:rPr>
        <w:t xml:space="preserve">Übertragbarkeit: </w:t>
      </w:r>
      <w:r>
        <w:rPr>
          <w:sz w:val="19"/>
        </w:rPr>
        <w:t>Global, zeigt Koordinationsproblem zwischen Zulassung und Programm-Aufnahme, relevant für deutsche Impfkalender-Entscheidungen.</w:t>
      </w:r>
    </w:p>
    <w:p>
      <w:r>
        <w:rPr>
          <w:color w:val="5A7D3A"/>
          <w:sz w:val="18"/>
        </w:rPr>
        <w:t>https://pubmed.ncbi.nlm.nih.gov/42728936/</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EV-A71-Impfung reduzierte Hand-Fuß-Mund-Krankheit um 57% in Shanghai – Shift zu anderen Serotypen beobachtet</w:t>
      </w:r>
    </w:p>
    <w:p>
      <w:r>
        <w:rPr>
          <w:i/>
          <w:color w:val="666666"/>
          <w:sz w:val="18"/>
        </w:rPr>
        <w:t>Deng L et al.  ·  Front Public Health  ·  12.08.2026  ·  PMID 42656515</w:t>
      </w:r>
    </w:p>
    <w:p>
      <w:r>
        <w:t>Analyse epidemiologischer Veränderungen der Hand-Fuß-Mund-Krankheit (HFMD) über 15 Jahre in Minhang-Bezirk Shanghai mit Schätzung der Impfeffektivität nach Test-Negative-Design.</w:t>
      </w:r>
    </w:p>
    <w:p>
      <w:r>
        <w:rPr>
          <w:b/>
        </w:rPr>
        <w:t xml:space="preserve">Ergebnis: </w:t>
      </w:r>
      <w:r>
        <w:t>Nach Einführung der EV-A71-Impfung (2016) sanken Inzidenz um 56,7%, Schweregrad um 95,2%, Sterblichkeit um 100%. Gesamtimpfeffektivität gegen EV-A71-assoziierte HFMD: 89,9% (95%-KI 74,5–96,0) für Zwei-Dosen-Serie; Durchimpfungsquote 50%. Keine Kreuzprotektion gegen andere Serotypen.</w:t>
      </w:r>
    </w:p>
    <w:p>
      <w:r>
        <w:rPr>
          <w:b/>
          <w:sz w:val="19"/>
        </w:rPr>
        <w:t xml:space="preserve">Übertragbarkeit: </w:t>
      </w:r>
      <w:r>
        <w:rPr>
          <w:sz w:val="19"/>
        </w:rPr>
        <w:t>China-Studie, System unterscheidet sich; Effektivitätsmessung an Bevölkerungsdaten aber global vergleichbar.</w:t>
      </w:r>
    </w:p>
    <w:p>
      <w:r>
        <w:rPr>
          <w:color w:val="5A7D3A"/>
          <w:sz w:val="18"/>
        </w:rPr>
        <w:t>https://pubmed.ncbi.nlm.nih.gov/42656515/</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Sicherheit von fünf COVID-19-Impfstoffen: Vergleich von Laborprüfung und Pharmakovigilanz</w:t>
      </w:r>
    </w:p>
    <w:p>
      <w:r>
        <w:rPr>
          <w:i/>
          <w:color w:val="666666"/>
          <w:sz w:val="18"/>
        </w:rPr>
        <w:t>Ren L et al.  ·  Trends Cancer  ·  09.07.2026  ·  PMID 42425835</w:t>
      </w:r>
    </w:p>
    <w:p>
      <w:r>
        <w:t>Vergleichende Analyse von Nichtkliniksicherheitsstudien und Pharmakovigilanzüberwachung zu fünf in Frankreich autorisierten COVID-19-Impfstoffen (Comirnaty, Spikevax, Vaxzevria, Jcovden, Nuvaxovid).</w:t>
      </w:r>
    </w:p>
    <w:p>
      <w:r>
        <w:rPr>
          <w:b/>
        </w:rPr>
        <w:t xml:space="preserve">Ergebnis: </w:t>
      </w:r>
      <w:r>
        <w:t>Reaktogenität bei Vektor-Impfstoffen höher als mRNA-Stoffen. Für seltene Ereignisse (Myokarditis, VITT) zeigten nichtklische Modelle begrenzte Vorhersagekraft. Troponin als klinischer Biomarker identifiziert; Harmonisierung der Biomarker-Überwachung empfohlen – klinische Phänomene wurden durch Labortests nicht vorhergesagt.</w:t>
      </w:r>
    </w:p>
    <w:p>
      <w:r>
        <w:rPr>
          <w:b/>
          <w:sz w:val="19"/>
        </w:rPr>
        <w:t xml:space="preserve">Übertragbarkeit: </w:t>
      </w:r>
      <w:r>
        <w:rPr>
          <w:sz w:val="19"/>
        </w:rPr>
        <w:t>Frankreich/Europa – europäische Zulassungsdaten, PV-Praktiken, pharmakovigilanzregeln vergleichbar</w:t>
      </w:r>
    </w:p>
    <w:p>
      <w:r>
        <w:rPr>
          <w:color w:val="5A7D3A"/>
          <w:sz w:val="18"/>
        </w:rPr>
        <w:t>https://pubmed.ncbi.nlm.nih.gov/42425835/</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Wirksamkeit nahm mit der Zeit seit Impfung ab (p&lt;0,001): 51,9% zwei bis acht Wochen nach Impfung, 44,6% nach 9-16 Wochen, 41,4% nach ≥16 Wochen. Höhere Effektivität bei Kindern 2-17 Jahre (60,8%) als bei Erwachsenen 18-64 Jahre (40,5%) oder ≥65 Jahre (42,3%).</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Impfpraevention</dc:title>
  <dc:subject/>
  <dc:creator>Monitor Versorgungsforschung</dc:creator>
  <cp:keywords/>
  <dc:description>generated by python-docx</dc:description>
  <cp:lastModifiedBy/>
  <cp:revision>1</cp:revision>
  <dcterms:created xsi:type="dcterms:W3CDTF">2026-09-27T06:00:00Z</dcterms:created>
  <dcterms:modified xsi:type="dcterms:W3CDTF">2026-09-27T06:00:00Z</dcterms:modified>
  <cp:category/>
</cp:coreProperties>
</file>