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31.10.2026  |  6 Studien  |  impfen.m-vf.de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HPV-Impfskepsis bei jungen Frauen: Kulturelle und strukturelle Barrieren in den VAE</w:t>
      </w:r>
    </w:p>
    <w:p>
      <w:r>
        <w:rPr>
          <w:i/>
          <w:color w:val="666666"/>
          <w:sz w:val="18"/>
        </w:rPr>
        <w:t>Langhe R et al.  ·  PLoS One  ·  30.10.2026  ·  PMID 42961930</w:t>
      </w:r>
    </w:p>
    <w:p>
      <w:r>
        <w:t>Querschnittsbefragung von 1455 Frauen (18–30 Jahre) in den VAE zu HPV-Impfstatus, kulturellen Überzeugungen und institutionellen Faktoren für Impfannahme (Juli–August 2024).</w:t>
      </w:r>
    </w:p>
    <w:p>
      <w:r>
        <w:rPr>
          <w:b/>
        </w:rPr>
        <w:t xml:space="preserve">Ergebnis: </w:t>
      </w:r>
      <w:r>
        <w:t>58,8 % hielten HPV-Impfung für kulturell akzeptabel, aber nur 26,2 % waren geimpft. Hauptbarrieren: Nebenwirkungssorgen (47,5 %), Gefühl zu jung (28,4 %), Angst vor Familie (27,8 %). Gründe für Impfung: Aufnahme in Impfplan (37,9 %), elterliche Ermutigung (36,6 %), Selbstschutz (25,6 %). Annahme stieg bei Framing als Krebsprävention (64,6 %), besserer Erreichbarkeit (63,8 %) und Erschwinglichkeit (61,5 %).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VAE-Daten, begrenzt übertragbar; zeigt aber universal geltende Barrieren für Frauenimpfungen</w:t>
      </w:r>
    </w:p>
    <w:p>
      <w:r>
        <w:rPr>
          <w:color w:val="5A7D3A"/>
          <w:sz w:val="18"/>
        </w:rPr>
        <w:t>https://pubmed.ncbi.nlm.nih.gov/42961930/</w:t>
      </w:r>
    </w:p>
    <w:p>
      <w:pPr>
        <w:pStyle w:val="Heading2"/>
      </w:pPr>
      <w:r>
        <w:t>Wie Desinformation zur Kinderimpfung auf TikTok verstärkt wird: Narrative und Algorithmen</w:t>
      </w:r>
    </w:p>
    <w:p>
      <w:r>
        <w:rPr>
          <w:i/>
          <w:color w:val="666666"/>
          <w:sz w:val="18"/>
        </w:rPr>
        <w:t>Castro TH et al.  ·  Rev Gaucha Enferm  ·  26.10.2026  ·  PMID 42961257</w:t>
      </w:r>
    </w:p>
    <w:p>
      <w:r>
        <w:t>Qualitative, exploratorische Dokumentenanalyse von 13 öffentlichen brasilianischen TikTok-Videos mit Anti-Impfstoff-Inhalten zu Kinderimpfungen (Januar–Oktober 2025); Analyse von Narrativen, Engagement und diskursiven Strukturen mittels IRaMuTeQ-Software.</w:t>
      </w:r>
    </w:p>
    <w:p>
      <w:r>
        <w:rPr>
          <w:b/>
        </w:rPr>
        <w:t xml:space="preserve">Ergebnis: </w:t>
      </w:r>
      <w:r>
        <w:t>Hohe Engagement-Metriken: Durchschnitt 1.815,36 Likes, 810,36 Kommentare, 558,29 Shares und 224,64 Speicherungen pro Video. Drei Narrativ-Kerne: politisch-institutionell, biomedizinisches Risiko und wissenschaftlich-legitimierend. Correspondence Factor Analysis erklärte ~60 % Varianz (32 % Factor 1, 28 % Factor 2). Diskursverstärkung zu Nebenwirkungsangst, Institutionalvertrauen und Missbrauch wissenschaftlicher Sprache beobachtet; Kommentare als Validierungsraum.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Muster digitaler Desinformation universal, Algorithmus-Mechaniken auf TikTok global gleich</w:t>
      </w:r>
    </w:p>
    <w:p>
      <w:r>
        <w:rPr>
          <w:color w:val="5A7D3A"/>
          <w:sz w:val="18"/>
        </w:rPr>
        <w:t>https://pubmed.ncbi.nlm.nih.gov/42961257/</w:t>
      </w:r>
    </w:p>
    <w:p>
      <w:pPr>
        <w:pStyle w:val="Heading2"/>
      </w:pPr>
      <w:r>
        <w:t>RSV-Impfprogramm reduzierte Bronchiolitishospitalisierungen in Griechenland deutlich</w:t>
      </w:r>
    </w:p>
    <w:p>
      <w:r>
        <w:rPr>
          <w:i/>
          <w:color w:val="666666"/>
          <w:sz w:val="18"/>
        </w:rPr>
        <w:t>Konstantopoulou A et al.  ·  Epidemiol Infect  ·  30.10.2026  ·  PMID 42958808</w:t>
      </w:r>
    </w:p>
    <w:p>
      <w:r>
        <w:t>Prospektive Beobachtungsstudie der Auswirkungen einer neuen nationalen RSV-Impfstrategie (Antikörper und Mutter-Impfung) auf Bronchiolitiserkrankungen bei Säuglingen in einem quaternären Kinderkrankenhaus (2025–2026).</w:t>
      </w:r>
    </w:p>
    <w:p>
      <w:r>
        <w:rPr>
          <w:b/>
        </w:rPr>
        <w:t xml:space="preserve">Ergebnis: </w:t>
      </w:r>
      <w:r>
        <w:t>Die Bronchiolitisrate sank signifikant von 64 (2023–2024) und 59 (2024–2025) auf 42 pro 1000 Aufnahmen (2025–2026). Von 186 Bronchiolitisfällen waren 19,9 % geimpft; Schweregrad unterschied sich nicht signifikant zwischen geimpften und ungeimpften Kindern, obwohl Ungeimpfte älter waren und Trend zu höheren Komplikationen aufwiesen. Die Studie zeigt, dass die nationale RSV-Impfung mit reduzierten Hospitalierungen und Komplikationen assoziiert war, aber unterstreicht Bedarf für bessere Abdeckung und zeitgerechte Immunisierung.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europäisches Gesundheitssystem mit Krankenhausdaten vergleichbar Deutschland</w:t>
      </w:r>
    </w:p>
    <w:p>
      <w:r>
        <w:rPr>
          <w:color w:val="5A7D3A"/>
          <w:sz w:val="18"/>
        </w:rPr>
        <w:t>https://pubmed.ncbi.nlm.nih.gov/42958808/</w:t>
      </w:r>
    </w:p>
    <w:p>
      <w:pPr>
        <w:pStyle w:val="Heading2"/>
      </w:pPr>
      <w:r>
        <w:t>Impfung und Hybrid-Immunität schützen vor COVID-19-Infektion, nicht vor Virusverschuppung</w:t>
      </w:r>
    </w:p>
    <w:p>
      <w:r>
        <w:rPr>
          <w:i/>
          <w:color w:val="666666"/>
          <w:sz w:val="18"/>
        </w:rPr>
        <w:t>Barrett BS et al.  ·  BMC Infect Dis  ·  01.08.2026  ·  PMID 42958073</w:t>
      </w:r>
    </w:p>
    <w:p>
      <w:r>
        <w:t>Längsschnitt-Haushalt-Kohortenstudie (September 2021–Dezember 2022) in Guatemala (n=70 Haushalte, 119 PCR-positive Fälle, 101 Kontrollen): Auswirkung von Impfstatus und Hybrid-Immunität auf Infektionsrisiko und Virusverschuppungsdauer gemessen durch wöchentliche Speicheltests.</w:t>
      </w:r>
    </w:p>
    <w:p>
      <w:r>
        <w:rPr>
          <w:b/>
        </w:rPr>
        <w:t xml:space="preserve">Ergebnis: </w:t>
      </w:r>
      <w:r>
        <w:t>Verglichen mit Kontrollen waren COVID-19-Fälle häufiger weiblich (60,5 % vs. 48,5 %), hatten weniger Impfdosen (p=0,07) und weniger Hybrid-Immunität (p=0,08). Fälle zeigten niedrigere Median-Titer für Nukleokapsid-IgG (9,6 vs. 23,6; p=0,12) und Omicron-Neutralisierungsantikörper (28,4 vs. 50,4; p=0,15). Bei Geimpften mit 1, 2 oder 3 Dosen bzw. aufgefrischten Personen waren Fälle-NAb signifikant niedriger (alle p&lt;0,05). Nukleokapsid-IgG und NAb unterschieden nicht zwischen kurzer (≤7 Tage) und langer (&gt;7 Tage) Verschuppungsdauer.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Guatemala, Arbeiterkohorte in Entwicklungsland; COVID-Schutzme­cha­nis­men gelten universal</w:t>
      </w:r>
    </w:p>
    <w:p>
      <w:r>
        <w:rPr>
          <w:color w:val="5A7D3A"/>
          <w:sz w:val="18"/>
        </w:rPr>
        <w:t>https://pubmed.ncbi.nlm.nih.gov/42958073/</w:t>
      </w:r>
    </w:p>
    <w:p>
      <w:pPr>
        <w:pStyle w:val="Heading2"/>
      </w:pPr>
      <w:r>
        <w:t>Strukturierte Impfreviews erhöhten Impfquote transplantierter Kinder deutlich</w:t>
      </w:r>
    </w:p>
    <w:p>
      <w:r>
        <w:rPr>
          <w:i/>
          <w:color w:val="666666"/>
          <w:sz w:val="18"/>
        </w:rPr>
        <w:t>Barbey FA et al.  ·  Pediatr Transplant  ·  Nov. 2026  ·  PMID 42957987</w:t>
      </w:r>
    </w:p>
    <w:p>
      <w:r>
        <w:t>Vor-nach-Beobachtungsstudie mit wiederholtem Querschnitt an einem kanadischen Zentrum (2020 und 2024): Auswirkung strukturierter Impfreviews nach Organtransplantation auf Impfquoten bei Kindern (n=Kohorte variabel).</w:t>
      </w:r>
    </w:p>
    <w:p>
      <w:r>
        <w:rPr>
          <w:b/>
        </w:rPr>
        <w:t xml:space="preserve">Ergebnis: </w:t>
      </w:r>
      <w:r>
        <w:t>Gesamtimpfquote stieg von 33 % (2020) auf 51 % (2024). Stärkste Verbesserungen bei Pneumokokken-Polysaccharid-Impfstoff (PPV23): 58 %–88 % (p&lt;0,001) und HPV-Impfstoff: 32 %–81 % (p=0,003). Bei Kindern mit Transplantation vor Alter &lt;2 Jahren war Quote 2020 signifikant niedriger, 2024 nicht mehr. Strukturierte Reviews waren mit Impfquote-Anstiegen über alle Impfstoffe und Organgruppen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 Finanzierung und Dokumentationspflicht wie Deutschland</w:t>
      </w:r>
    </w:p>
    <w:p>
      <w:r>
        <w:rPr>
          <w:color w:val="5A7D3A"/>
          <w:sz w:val="18"/>
        </w:rPr>
        <w:t>https://pubmed.ncbi.nlm.nih.gov/42957987/</w:t>
      </w:r>
    </w:p>
    <w:p>
      <w:pPr>
        <w:pStyle w:val="Heading2"/>
      </w:pPr>
      <w:r>
        <w:t>RSV-Impfbereitschaft schwangerer Frauen in Polen: Barrieren und Chancen</w:t>
      </w:r>
    </w:p>
    <w:p>
      <w:r>
        <w:rPr>
          <w:i/>
          <w:color w:val="666666"/>
          <w:sz w:val="18"/>
        </w:rPr>
        <w:t>Strózik M et al.  ·  Adv Clin Exp Med  ·  Okt. 2026  ·  PMID 42735430</w:t>
      </w:r>
    </w:p>
    <w:p>
      <w:r>
        <w:t>Online-Querschnittsbefragung (CAWI) von 668 schwangeren oder gerade entbundenen Frauen in Polen zu RSV-Impfbereitschaft, Impfwissen und Einflussfaktoren (Juli–August 2024).</w:t>
      </w:r>
    </w:p>
    <w:p>
      <w:r>
        <w:rPr>
          <w:b/>
        </w:rPr>
        <w:t xml:space="preserve">Ergebnis: </w:t>
      </w:r>
      <w:r>
        <w:t>58,8 % hielten RSV-Impfung für kulturell akzeptabel, aber nur 26,2 % waren tatsächlich geimpft. Hauptbarrieren waren Nebenwirkungssorgen (47,5 %), Altersargument (28,4 %) und Angst vor Familienurteil (27,8 %). Impfung in den Impfplan (37,9 %), elterliche Zustimmung (36,6 %) und Krebsprävention als Botschaft (64,6 %) erhöhten Annahmebereitschaft; bessere Erreichbarkeit (63,8 %) und Bezahlbarkeit (61,5 %) würden Quote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Sozialversicherung; zeigt typische Impfskepsis-Muster Mitteleuropas</w:t>
      </w:r>
    </w:p>
    <w:p>
      <w:r>
        <w:rPr>
          <w:color w:val="5A7D3A"/>
          <w:sz w:val="18"/>
        </w:rPr>
        <w:t>https://pubmed.ncbi.nlm.nih.gov/42735430/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