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04.10.2026  |  6 Studien  |  impfen.m-vf.de</w:t>
      </w:r>
    </w:p>
    <w:p>
      <w:pPr>
        <w:pStyle w:val="Heading1"/>
      </w:pPr>
      <w:r>
        <w:t>Aufgenommen am 04.10.2026</w:t>
      </w:r>
    </w:p>
    <w:p>
      <w:pPr>
        <w:pStyle w:val="Heading2"/>
      </w:pPr>
      <w:r>
        <w:t>Impfverantwortung in Familie und System: Wie russische Mütter Impfentscheidungen treffen</w:t>
      </w:r>
    </w:p>
    <w:p>
      <w:r>
        <w:rPr>
          <w:i/>
          <w:color w:val="666666"/>
          <w:sz w:val="18"/>
        </w:rPr>
        <w:t>Borozdina E  ·  Sociol Health Illn  ·  Nov. 2026  ·  PMID 42823783</w:t>
      </w:r>
    </w:p>
    <w:p>
      <w:r>
        <w:t>Qualitative Interviews mit impfskeptischen russischen Müttern zeigten, dass Impfentscheidungen nicht individuell getroffen werden, sondern eingebettet sind in Familiennetzwerke und durch unzureichende institutionelle Unterstützung bei hoher Eigenverantwortung geprägt sind.</w:t>
      </w:r>
    </w:p>
    <w:p>
      <w:r>
        <w:rPr>
          <w:b/>
        </w:rPr>
        <w:t xml:space="preserve">Ergebnis: </w:t>
      </w:r>
      <w:r>
        <w:t>Impfskepsis entsteht nicht primär aus individualistischer Haltung, sondern aus dem Misstrauen gegenüber Institutionen, die Eigenverantwortung verlangen ohne sie zu unterstützen; familiäre Netzwerke sind zentral für Entscheidungsfindung.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Russland – System mit neoliberalen Tendenzen und Staatskontrolle, teilweise vergleichbar zu osteuropäischen Transformationsgesellschaften</w:t>
      </w:r>
    </w:p>
    <w:p>
      <w:r>
        <w:rPr>
          <w:color w:val="5A7D3A"/>
          <w:sz w:val="18"/>
        </w:rPr>
        <w:t>https://pubmed.ncbi.nlm.nih.gov/42823783/</w:t>
      </w:r>
    </w:p>
    <w:p>
      <w:pPr>
        <w:pStyle w:val="Heading2"/>
      </w:pPr>
      <w:r>
        <w:t>Guillain-Barré-Syndrom nach RSV-Vakzinierung: Fallbericht und diagnostische Lektionen</w:t>
      </w:r>
    </w:p>
    <w:p>
      <w:r>
        <w:rPr>
          <w:i/>
          <w:color w:val="666666"/>
          <w:sz w:val="18"/>
        </w:rPr>
        <w:t>Hreiz S et al.  ·  BMJ Case Rep  ·  01.10.2026  ·  PMID 42823139</w:t>
      </w:r>
    </w:p>
    <w:p>
      <w:r>
        <w:t>Fallbericht einer älteren Patientin mit Guillain-Barré-Syndrom zwei Wochen nach RSV-Impfung, die zunächst fehldiagnostiziert wurde, intensive Behandlung mit IVIG erforderte und sich nur partiell erholte.</w:t>
      </w:r>
    </w:p>
    <w:p>
      <w:r>
        <w:rPr>
          <w:b/>
        </w:rPr>
        <w:t xml:space="preserve">Ergebnis: </w:t>
      </w:r>
      <w:r>
        <w:t>Ein dokumentierter Fall eines Guillain-Barré-Syndroms mit zeitlichem Zusammenhang zur RSV-Vakzinierung; seltene, aber wichtige Nebenwirkung, die Notwendigkeit serieller klinischer Beurteilung und früher Eskalation unterstreicht.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– vergleichbares Gesundheitssystem, Vigilanzmeldung in europäischer Sicherheitsüberwachung relevant</w:t>
      </w:r>
    </w:p>
    <w:p>
      <w:r>
        <w:rPr>
          <w:color w:val="5A7D3A"/>
          <w:sz w:val="18"/>
        </w:rPr>
        <w:t>https://pubmed.ncbi.nlm.nih.gov/42823139/</w:t>
      </w:r>
    </w:p>
    <w:p>
      <w:pPr>
        <w:pStyle w:val="Heading2"/>
      </w:pPr>
      <w:r>
        <w:t>Hepatitis-B-Impfantwortraten bei Hämodialysepatienten: Prädiktoren und Responderraten</w:t>
      </w:r>
    </w:p>
    <w:p>
      <w:r>
        <w:rPr>
          <w:i/>
          <w:color w:val="666666"/>
          <w:sz w:val="18"/>
        </w:rPr>
        <w:t>Gupta RD et al.  ·  Mymensingh Med J  ·  Okt. 2026  ·  PMID 42811835</w:t>
      </w:r>
    </w:p>
    <w:p>
      <w:r>
        <w:t>Querschnittstudie mit 50 Hämodialysepatienten in Bangladesch zur Messung von Anti-HBs-Titern nach Hepatitis-B-Impfung und Identifikation von Prädiktoren der Impfantwort.</w:t>
      </w:r>
    </w:p>
    <w:p>
      <w:r>
        <w:rPr>
          <w:b/>
        </w:rPr>
        <w:t xml:space="preserve">Ergebnis: </w:t>
      </w:r>
      <w:r>
        <w:t>Gesamtansprechquote 64%: 38% Hochresponder (Anti-HBs ≥100 mIU/ml), 26% schwache Responder (≥10 bis &lt;100 mIU/ml), 36% Nicht-Responder (&lt;10 mIU/ml); Alter &gt;50 Jahre, Diabetes und niedriges Serumalbmin waren signifikante Prädiktoren für schwache/keine Antwort (p&lt;0,05).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Bangladesch – ähnliche Dialysepopulation, generalisierbar auf Hochrisikogruppen mit Malnutrition</w:t>
      </w:r>
    </w:p>
    <w:p>
      <w:r>
        <w:rPr>
          <w:color w:val="5A7D3A"/>
          <w:sz w:val="18"/>
        </w:rPr>
        <w:t>https://pubmed.ncbi.nlm.nih.gov/42811835/</w:t>
      </w:r>
    </w:p>
    <w:p>
      <w:pPr>
        <w:pStyle w:val="Heading2"/>
      </w:pPr>
      <w:r>
        <w:t>COVID-19-Impfeffektivität unter Alltagsbedingungen: Direkte und indirekte Effekte in Victoria, Australien</w:t>
      </w:r>
    </w:p>
    <w:p>
      <w:r>
        <w:rPr>
          <w:i/>
          <w:color w:val="666666"/>
          <w:sz w:val="18"/>
        </w:rPr>
        <w:t>Lin L et al.  ·  J R Soc Interface  ·  30.09.2026  ·  PMID 42811612</w:t>
      </w:r>
    </w:p>
    <w:p>
      <w:r>
        <w:t>Bevölkerungsbasierte Modellstudie mit 6,44 Millionen Einwohnern Victorias zur Quantifizierung der direkten und indirekten (Herden-)Schutzeffekte von COVID-19-Impfung während der Delta-Welle 2021.</w:t>
      </w:r>
    </w:p>
    <w:p>
      <w:r>
        <w:rPr>
          <w:b/>
        </w:rPr>
        <w:t xml:space="preserve">Ergebnis: </w:t>
      </w:r>
      <w:r>
        <w:t>Konservativ geschätzt: 315.000 Infektionen (95% BCI: 231k–406k), 33.400 Hospitalisierungen (95% BCI: 22k–46k) und 4.900 Todesfälle (95% BCI: 2,8k–7,2k) vermieden; diese Zahlen sind 4,0–, 7,5– und 8,0-fach höher als die beobachtete Fallzahl. Etwa die Hälfte der vermiedenen Infektionen und ein Viertel der Hospitalisierungen/Todesfälle gingen auf indirekten Schutz zurück.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– ähnliche Impfinfrastruktur wie Westeuropa, Bevölkerungsdaten robust</w:t>
      </w:r>
    </w:p>
    <w:p>
      <w:r>
        <w:rPr>
          <w:color w:val="5A7D3A"/>
          <w:sz w:val="18"/>
        </w:rPr>
        <w:t>https://pubmed.ncbi.nlm.nih.gov/42811612/</w:t>
      </w:r>
    </w:p>
    <w:p>
      <w:pPr>
        <w:pStyle w:val="Heading2"/>
      </w:pPr>
      <w:r>
        <w:t>HPV-Impfwissen und -akzeptanz bei Studierenden in Malaysia: Lücken trotz positiver Einstellung</w:t>
      </w:r>
    </w:p>
    <w:p>
      <w:r>
        <w:rPr>
          <w:i/>
          <w:color w:val="666666"/>
          <w:sz w:val="18"/>
        </w:rPr>
        <w:t>Lim MSH et al.  ·  Asian Pac J Cancer Prev  ·  01.09.2026  ·  PMID 42808405</w:t>
      </w:r>
    </w:p>
    <w:p>
      <w:r>
        <w:t>Querschnittstudie mit 382 Undergraduate-Studierenden in Sarawak zur Erhebung von HPV-Wissen, Einstellungen und Impfquoten; 55% waren ungeimpft.</w:t>
      </w:r>
    </w:p>
    <w:p>
      <w:r>
        <w:rPr>
          <w:b/>
        </w:rPr>
        <w:t xml:space="preserve">Ergebnis: </w:t>
      </w:r>
      <w:r>
        <w:t>HPV-Wissen moderat: Studierende aus Gesundheitsfachrichtungen zeigten höheres Wissen (aOR 2,0, 95% CI 1,1–3,5); Geimpfte hatten signifikant höheres Wissen (aOR 1,9, 95% CI 1,2–3,0). Einstellungen überwiegend positiv, aber Bedenken bezüglich Kosten, Sicherheit und sozialer Stigmatisierung blieben bestehen.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Malaysia – mittleres Einkommen, nationales HPV-Programm, ähnliche schulische Erreichbarkeit wie Schwellenländer</w:t>
      </w:r>
    </w:p>
    <w:p>
      <w:r>
        <w:rPr>
          <w:color w:val="5A7D3A"/>
          <w:sz w:val="18"/>
        </w:rPr>
        <w:t>https://pubmed.ncbi.nlm.nih.gov/42808405/</w:t>
      </w:r>
    </w:p>
    <w:p>
      <w:pPr>
        <w:pStyle w:val="Heading2"/>
      </w:pPr>
      <w:r>
        <w:t>Masernimpfversagen bei Reiserückkehrern: Zwei Fallbeispiele aus Deutschland</w:t>
      </w:r>
    </w:p>
    <w:p>
      <w:r>
        <w:rPr>
          <w:i/>
          <w:color w:val="666666"/>
          <w:sz w:val="18"/>
        </w:rPr>
        <w:t>Schnell AP et al.  ·  Inn Med (Heidelb)  ·  08.09.2026  ·  PMID 42709141</w:t>
      </w:r>
    </w:p>
    <w:p>
      <w:r>
        <w:t>Fallbericht von zwei Masernpatienten nach Auslandsreisen, davon einer mit primärem Impfversagen nach Einfachimpfung mit schwerer Pneumonitis und einer mit sekundärem Impfversagen und atypischem Exanthem bei vermuteter Immundefizienz.</w:t>
      </w:r>
    </w:p>
    <w:p>
      <w:r>
        <w:rPr>
          <w:b/>
        </w:rPr>
        <w:t xml:space="preserve">Ergebnis: </w:t>
      </w:r>
      <w:r>
        <w:t>Zwei dokumentierte Masernfälle in Deutschland trotz Impfung – ein Fall mit primärem, einer mit sekundärem Impfversagen; Masern bleiben relevante Differenzialdiagnose auch bei Geimpften, reisemedizinische Beratung sollte Impfstatus erfassen.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 mit reisemedizinischem Bezug und Impfversagensursachen klinisch relevant</w:t>
      </w:r>
    </w:p>
    <w:p>
      <w:r>
        <w:rPr>
          <w:color w:val="5A7D3A"/>
          <w:sz w:val="18"/>
        </w:rPr>
        <w:t>https://pubmed.ncbi.nlm.nih.gov/42709141/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2026-10-04T06:00:00Z</dcterms:created>
  <dcterms:modified xsi:type="dcterms:W3CDTF">2026-10-04T06:00:00Z</dcterms:modified>
  <cp:category/>
</cp:coreProperties>
</file>