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12.10.2026  |  6 Studien  |  impfen.m-vf.de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COVID-19-Impfung reduziert Risiko für Post-COVID-Herzerkrankungen</w:t>
      </w:r>
    </w:p>
    <w:p>
      <w:r>
        <w:rPr>
          <w:i/>
          <w:color w:val="666666"/>
          <w:sz w:val="18"/>
        </w:rPr>
        <w:t>Maria LFBS et al.  ·  Rev Med Virol  ·  Nov. 2026  ·  PMID 42858449</w:t>
      </w:r>
    </w:p>
    <w:p>
      <w:r>
        <w:t>Systematische Qualitative Synthese der Evidenz nach Bradford Hill-Kriterien und Sufficient Component Cause-Modell zur Frage, ob Impfung vor Post-COVID-Herz-Kreislauf-Komplikationen schützt.</w:t>
      </w:r>
    </w:p>
    <w:p>
      <w:r>
        <w:rPr>
          <w:b/>
        </w:rPr>
        <w:t xml:space="preserve">Ergebnis: </w:t>
      </w:r>
      <w:r>
        <w:t>COVID-19-Impfung erfüllte vier von neun Bradford-Hill-Kriterien als protektiver Faktor gegen Post-COVID-Kardiovaskulärerkrankungen: Assoziationsstärke, Konsistenz, Temporalität und biologischer Gradient. Drei Kriterien (biolog. Plausibilität, Kohärenz, Analogie) waren teilweise erfüllt. Schlussfolgerung: Impfung erwies sich wirksam über die Akutphase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Brasilien/Lateinamerika; Befund zur kardiovaskulären Langzeit-Schutzwirkung international übertragbar</w:t>
      </w:r>
    </w:p>
    <w:p>
      <w:r>
        <w:rPr>
          <w:color w:val="5A7D3A"/>
          <w:sz w:val="18"/>
        </w:rPr>
        <w:t>https://pubmed.ncbi.nlm.nih.gov/42858449/</w:t>
      </w:r>
    </w:p>
    <w:p>
      <w:pPr>
        <w:pStyle w:val="Heading2"/>
      </w:pPr>
      <w:r>
        <w:t>Impffieber wird durch Darmbakterienzusammensetzung geprägt</w:t>
      </w:r>
    </w:p>
    <w:p>
      <w:r>
        <w:rPr>
          <w:i/>
          <w:color w:val="666666"/>
          <w:sz w:val="18"/>
        </w:rPr>
        <w:t>Huus KE et al.  ·  Science  ·  08.10.2026  ·  PMID 42848888</w:t>
      </w:r>
    </w:p>
    <w:p>
      <w:r>
        <w:t>Longitudinale Profilerstellung der Darmflora bei 171 Erwachsenen nach mRNA-Impfung zeigte, dass Fieber mit niedriger intestinaler Entzündung und gesteigerten flagellierten Lachnospiraceae-Bakterien korreliert.</w:t>
      </w:r>
    </w:p>
    <w:p>
      <w:r>
        <w:rPr>
          <w:b/>
        </w:rPr>
        <w:t xml:space="preserve">Ergebnis: </w:t>
      </w:r>
      <w:r>
        <w:t>Fieberhäufigkeit war mit mikrobiellem Entzündungsstatus und Flagellin-Expressionsprofilen assoziiert. Diät und Mikrobiom-Targeting könnten Impfnebenwirkungen reduzieren, ohne dass damit Impfeffektivität gefährdet wäre – nur lokale Immuntoleranz wird moduliert.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mit vergleichbarer Bevölkerungsstruktur; Befund zu Immunmechanismus ist universell übertragbar</w:t>
      </w:r>
    </w:p>
    <w:p>
      <w:r>
        <w:rPr>
          <w:color w:val="5A7D3A"/>
          <w:sz w:val="18"/>
        </w:rPr>
        <w:t>https://pubmed.ncbi.nlm.nih.gov/42848888/</w:t>
      </w:r>
    </w:p>
    <w:p>
      <w:pPr>
        <w:pStyle w:val="Heading2"/>
      </w:pPr>
      <w:r>
        <w:t>HPV-Impfbereitschaft hängt von Risikobewusstsein, Vertrauen und Informationsquellen ab</w:t>
      </w:r>
    </w:p>
    <w:p>
      <w:r>
        <w:rPr>
          <w:i/>
          <w:color w:val="666666"/>
          <w:sz w:val="18"/>
        </w:rPr>
        <w:t>Thomas Gil M et al.  ·  Hum Vaccin Immunother  ·  08.10.2026  ·  PMID 42847160</w:t>
      </w:r>
    </w:p>
    <w:p>
      <w:r>
        <w:t>Querschnittsumfrage unter indischen Studentinnen integrierte Konstrukte aus Health Belief Model, Protection Motivation Theory und 3Cs-Rahmen, um Determinanten der Impfbereitschaft und des Impfverhaltens zu untersuchen.</w:t>
      </w:r>
    </w:p>
    <w:p>
      <w:r>
        <w:rPr>
          <w:b/>
        </w:rPr>
        <w:t xml:space="preserve">Ergebnis: </w:t>
      </w:r>
      <w:r>
        <w:t>Wahrgenommene Schweregrad und Anfälligkeit sowie Impfvertrauen erhöhten Impfbereitschaft (+), Selbstzufriedenheit senkte sie (−). Impfbereitschaft mediierte signifikant die Effekte auf tatsächliches Impfverhalten. HPV-Impfempfehlungen und Informationsquellen hatten begrenzt verstärkende Moderatoren-Effekte.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Indien; Einflussfaktoren auf Impfverhalten sind kulturübergreifend relevant, aber Interventionsdesign muss an deutsche Kontexte angepasst werden</w:t>
      </w:r>
    </w:p>
    <w:p>
      <w:r>
        <w:rPr>
          <w:color w:val="5A7D3A"/>
          <w:sz w:val="18"/>
        </w:rPr>
        <w:t>https://pubmed.ncbi.nlm.nih.gov/42847160/</w:t>
      </w:r>
    </w:p>
    <w:p>
      <w:pPr>
        <w:pStyle w:val="Heading2"/>
      </w:pPr>
      <w:r>
        <w:t>Impfung senkt COVID-19-Hospitalisierung bei Rheumapatienten deutlich</w:t>
      </w:r>
    </w:p>
    <w:p>
      <w:r>
        <w:rPr>
          <w:i/>
          <w:color w:val="666666"/>
          <w:sz w:val="18"/>
        </w:rPr>
        <w:t>Ak F et al.  ·  Front Public Health  ·  22.09.2026  ·  PMID 42840118</w:t>
      </w:r>
    </w:p>
    <w:p>
      <w:r>
        <w:t>Retrospektive Kohortenstudie von 1.024 Rheumapatienten (März 2020–Januar 2023): Assoziationen zwischen Krankheitssubtyp, Behandlung, Impfstatus und COVID-19-Infektions- sowie Hospitalisierungsrisiko untersucht.</w:t>
      </w:r>
    </w:p>
    <w:p>
      <w:r>
        <w:rPr>
          <w:b/>
        </w:rPr>
        <w:t xml:space="preserve">Ergebnis: </w:t>
      </w:r>
      <w:r>
        <w:t>Von 1.024 Patienten entwickelten 33,9% COVID-19; 92,3% der Nicht-Infizierten waren geimpft vs. 23,9% der Infizierten (p&lt;0,001). Hospitalisiert wurden 11,5% der COVID-19-Positiven; Prädiktoren: höheres Alter, Lungenbeteiligung, längere Krankheitsdauer. BNT162b2-Impfung war mit niedrigerem Hospitalisierungsrisiko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mit westlichem Versicherungssystem; Befund zum Schutzeffekt durch Impfung bei Immunsuppression auf deutsche Rheumatologie direkt übertragbar</w:t>
      </w:r>
    </w:p>
    <w:p>
      <w:r>
        <w:rPr>
          <w:color w:val="5A7D3A"/>
          <w:sz w:val="18"/>
        </w:rPr>
        <w:t>https://pubmed.ncbi.nlm.nih.gov/42840118/</w:t>
      </w:r>
    </w:p>
    <w:p>
      <w:pPr>
        <w:pStyle w:val="Heading2"/>
      </w:pPr>
      <w:r>
        <w:t>Neues CAR-T-Zielprotein MPZL1 könnte Spektrum von Tumorarten erweitern</w:t>
      </w:r>
    </w:p>
    <w:p>
      <w:r>
        <w:rPr>
          <w:i/>
          <w:color w:val="666666"/>
          <w:sz w:val="18"/>
        </w:rPr>
        <w:t>Jiménez-Vázquez S et al.  ·  Nat Commun  ·  10.09.2026  ·  PMID 42722692</w:t>
      </w:r>
    </w:p>
    <w:p>
      <w:r>
        <w:t>Entwicklung und präklinische Testung von CAR-T-Zellen gegen MPZL1, ein Oberflächenprotein, das bei bis zu 75% bestimmter Tumortypen amplifiziert ist und kaum auf Normalgewebe vorkommt.</w:t>
      </w:r>
    </w:p>
    <w:p>
      <w:r>
        <w:rPr>
          <w:b/>
        </w:rPr>
        <w:t xml:space="preserve">Ergebnis: </w:t>
      </w:r>
      <w:r>
        <w:t>CAR-T-Zellen gegen MPZL1 zeigten In-vitro-Eliminationsaktivität und Antitumoraktivität in menschlichen Xenograft-, autochthonen Maus- und patientenabgeleiteten Modellen. Die Arbeiten liefern grundsätzlich einen neuen Zielansatz; klinische Überprüfung steht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mit vergleichbarem Zelltherapie-Standard; Befund zu Targetidentifikation prinzipiell universell</w:t>
      </w:r>
    </w:p>
    <w:p>
      <w:r>
        <w:rPr>
          <w:color w:val="5A7D3A"/>
          <w:sz w:val="18"/>
        </w:rPr>
        <w:t>https://pubmed.ncbi.nlm.nih.gov/42722692/</w:t>
      </w:r>
    </w:p>
    <w:p>
      <w:pPr>
        <w:pStyle w:val="Heading2"/>
      </w:pPr>
      <w:r>
        <w:t>Dezentralisierte CAR-T-Herstellung könnte Zugangshürden in Europa senken</w:t>
      </w:r>
    </w:p>
    <w:p>
      <w:r>
        <w:rPr>
          <w:i/>
          <w:color w:val="666666"/>
          <w:sz w:val="18"/>
        </w:rPr>
        <w:t>Griebling D et al.  ·  Cytotherapy  ·  19.06.2026  ·  PMID 42696794</w:t>
      </w:r>
    </w:p>
    <w:p>
      <w:r>
        <w:t>Review des EASYGEN-Konsortiums zu Engpässen bei CAR-T-Therapie in Europa und Optionen für dezentralisierte Point-of-Care-Fertigung mit nichtviralen Gentransfer-Verfahren an mehreren Zentren.</w:t>
      </w:r>
    </w:p>
    <w:p>
      <w:r>
        <w:rPr>
          <w:b/>
        </w:rPr>
        <w:t xml:space="preserve">Ergebnis: </w:t>
      </w:r>
      <w:r>
        <w:t>Dezentralisierte Produktion und nichtvirale Gentransfer versprechen kürzere Vein-to-Vein-Zeiten, niedrigere Kosten und weniger Patienten-Verschlechterung während der Wartezeit. Konsortium schlägt vor: Standardisierung der Datenintegration und regulatorischer Rahmen für europäische Harmonisierung.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Versorgungsarchitektur mit direktem Bezug zu Herstellungshürden in Deutschland und Nachbarländern</w:t>
      </w:r>
    </w:p>
    <w:p>
      <w:r>
        <w:rPr>
          <w:color w:val="5A7D3A"/>
          <w:sz w:val="18"/>
        </w:rPr>
        <w:t>https://pubmed.ncbi.nlm.nih.gov/42696794/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