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13.10.2026  |  5 Studien  |  impfen.m-vf.de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Was Ältere in Peking von Grippeimpfung abhält und anzieht</w:t>
      </w:r>
    </w:p>
    <w:p>
      <w:r>
        <w:rPr>
          <w:i/>
          <w:color w:val="666666"/>
          <w:sz w:val="18"/>
        </w:rPr>
        <w:t>Jia M et al.  ·  JAMA Netw Open  ·  01.10.2026  ·  PMID 42862555</w:t>
      </w:r>
    </w:p>
    <w:p>
      <w:r>
        <w:t>Diskrete Wahlexperimente mit 514 Personen über 60 Jahren in zwei Pekinger Bezirken identifizierten Faktoren, die die Bereitschaft zur Grippeimpfung erhöhen oder senken.</w:t>
      </w:r>
    </w:p>
    <w:p>
      <w:r>
        <w:rPr>
          <w:b/>
        </w:rPr>
        <w:t xml:space="preserve">Ergebnis: </w:t>
      </w:r>
      <w:r>
        <w:t>Höhere Impfstoffwirksamkeit (+30,7 Prozentpunkte bei Steigerung von 20 auf 80 Prozent), Telefonerinnerungen und Botschaften zum Schutz von Familienangehörigen erhöhten die Akzeptanz; höhere wahrgenommene Risiken von Nebenwirkungen senkten sie um 20 Prozentpunkte. Nie-Geimpfte zeigten weniger Gewicht auf Wirksamkeit und höhere Sensitivität für Nebenwirkungsrisiken.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Wahlexperiment mit hohem Evidenzlevel, aber andere epidemiologische Ausgangslage und Versorgungsstruktur</w:t>
      </w:r>
    </w:p>
    <w:p>
      <w:r>
        <w:rPr>
          <w:color w:val="5A7D3A"/>
          <w:sz w:val="18"/>
        </w:rPr>
        <w:t>https://pubmed.ncbi.nlm.nih.gov/42862555/</w:t>
      </w:r>
    </w:p>
    <w:p>
      <w:pPr>
        <w:pStyle w:val="Heading2"/>
      </w:pPr>
      <w:r>
        <w:t>Spurenelemente beeinflussen Antikörperantwort auf COVID-19-Impfung bei Rheuma nicht</w:t>
      </w:r>
    </w:p>
    <w:p>
      <w:r>
        <w:rPr>
          <w:i/>
          <w:color w:val="666666"/>
          <w:sz w:val="18"/>
        </w:rPr>
        <w:t>Gadbaan Hama S  ·  J Infect Dev Ctries  ·  30.09.2026  ·  PMID 42858342</w:t>
      </w:r>
    </w:p>
    <w:p>
      <w:r>
        <w:t>Querschnittsstudie mit 79 Rheuma-Patienten und 47 Kontrollen im Irak, die Zink-, Kupfer-, Magnesium- und Ceruloplasmin-Spiegel mit COVID-19-Impfantikörper-Positivität in Beziehung setzte.</w:t>
      </w:r>
    </w:p>
    <w:p>
      <w:r>
        <w:rPr>
          <w:b/>
        </w:rPr>
        <w:t xml:space="preserve">Ergebnis: </w:t>
      </w:r>
      <w:r>
        <w:t>Signifikante Unterschiede in Spurenelementspiegeln zwischen Geimpften und Ungeimpften (p &lt; 0,05), aber keine signifikanten Assoziationen zwischen IgG-Positivität und Spurenelemantkatus in einer Gruppe (p &gt; 0,05). DMARD-Therapie war nicht signifikant mit IgG-Response assoziiert (p = 0,439). Breite humorale Immunität trotz unterschiedlicher Nährstoff- und therapeutischer Profile.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Irak, einfaches Querschnitt-Design, aber klinisch relevante Frage für Immunsupprimierte</w:t>
      </w:r>
    </w:p>
    <w:p>
      <w:r>
        <w:rPr>
          <w:color w:val="5A7D3A"/>
          <w:sz w:val="18"/>
        </w:rPr>
        <w:t>https://pubmed.ncbi.nlm.nih.gov/42858342/</w:t>
      </w:r>
    </w:p>
    <w:p>
      <w:pPr>
        <w:pStyle w:val="Heading2"/>
      </w:pPr>
      <w:r>
        <w:t>BCG-Impfung könnte Immunschwäche bei Nierenkranken über trainierte Immunität umkehren</w:t>
      </w:r>
    </w:p>
    <w:p>
      <w:r>
        <w:rPr>
          <w:i/>
          <w:color w:val="666666"/>
          <w:sz w:val="18"/>
        </w:rPr>
        <w:t>Sharma R et al.  ·  Indian J Med Res  ·  Aug. 2026  ·  PMID 42851218</w:t>
      </w:r>
    </w:p>
    <w:p>
      <w:r>
        <w:t>Ein Übersichtsartikel beschreibt, wie BCG-Impfung durch epigenetische Umprograierung der angeborenen Immunität (trainierte Immunität) die Impfantwort und Infektionsabwehr bei Patienten mit chronischer Nierenkrankheit möglicherweise verbessern könnte.</w:t>
      </w:r>
    </w:p>
    <w:p>
      <w:r>
        <w:rPr>
          <w:b/>
        </w:rPr>
        <w:t xml:space="preserve">Ergebnis: </w:t>
      </w:r>
      <w:r>
        <w:t>BCG stimuliert NOD2- und Akt/mTOR-Signalwege, erhöht aktivierende Histonmarken (H3K4me3) bei Zytokingenen und stabilisiert repressive Marken (H3K9me3) in nicht-essentiellen Genomabschnitten. Dies erzeugt transkriptionell permissives Chromatin, das Phagozytose und antimikrobielle Aktivität von Monozyten, Makrophagen und Neutrophilen steigert. Der Mechanismus ist hypothetisch; klinische Evidenz fehlt.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Theoretische Übersicht ohne empirische Daten, spekulativ für vulnerable Population, keine direkten Versorgungsdaten</w:t>
      </w:r>
    </w:p>
    <w:p>
      <w:r>
        <w:rPr>
          <w:color w:val="5A7D3A"/>
          <w:sz w:val="18"/>
        </w:rPr>
        <w:t>https://pubmed.ncbi.nlm.nih.gov/42851218/</w:t>
      </w:r>
    </w:p>
    <w:p>
      <w:pPr>
        <w:pStyle w:val="Heading2"/>
      </w:pPr>
      <w:r>
        <w:t>COVID-19-Impfstoffe verlangsamen nicht die Nierenkrankheit</w:t>
      </w:r>
    </w:p>
    <w:p>
      <w:r>
        <w:rPr>
          <w:i/>
          <w:color w:val="666666"/>
          <w:sz w:val="18"/>
        </w:rPr>
        <w:t>Emre T et al.  ·  Clin Lab  ·  01.10.2026  ·  PMID 42847950</w:t>
      </w:r>
    </w:p>
    <w:p>
      <w:r>
        <w:t>Retrospektive Kohortenstudie mit 140 Nierenpatienten an einem Krankenhaus in der Türkei, die vor, während und 24 Monate nach Impfung die Nierenfunktion verfolgten.</w:t>
      </w:r>
    </w:p>
    <w:p>
      <w:r>
        <w:rPr>
          <w:b/>
        </w:rPr>
        <w:t xml:space="preserve">Ergebnis: </w:t>
      </w:r>
      <w:r>
        <w:t>Alle drei Impfgruppen (nur BioNTech, nur inaktiviert, gemischt) zeigten signifikante Verschlechterungen der eGFR und Kreatinin-Anstiege über 5 Jahre (p &lt; 0,001), aber keine signifikanten Unterschiede zwischen den Impftypen (p &gt; 0,05). Weder mRNA- noch inaktivierte COVID-19-Impfstoffe beschleunigten die Nierenkrankheit.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retrospektiv, kleiner Kreis, aber Sicherheitssignal adressiert häufige Sorge bei vulnerable Population</w:t>
      </w:r>
    </w:p>
    <w:p>
      <w:r>
        <w:rPr>
          <w:color w:val="5A7D3A"/>
          <w:sz w:val="18"/>
        </w:rPr>
        <w:t>https://pubmed.ncbi.nlm.nih.gov/42847950/</w:t>
      </w:r>
    </w:p>
    <w:p>
      <w:pPr>
        <w:pStyle w:val="Heading2"/>
      </w:pPr>
      <w:r>
        <w:t>Tuberkulose-Patienten zeigen abgeschwächte Immunantwort auf COVID-19-Impfung trotz Antikörper</w:t>
      </w:r>
    </w:p>
    <w:p>
      <w:r>
        <w:rPr>
          <w:i/>
          <w:color w:val="666666"/>
          <w:sz w:val="18"/>
        </w:rPr>
        <w:t>Jiang Z et al.  ·  Front Immunol  ·  18.09.2026  ·  PMID 42827549</w:t>
      </w:r>
    </w:p>
    <w:p>
      <w:r>
        <w:t>Eine Substudie einer RCT verglich 38 TB-Patienten unter Therapie mit 38 Gesunden nach COVID-19-Impfung mittels Proteomik, Transkriptomik und Antikörpertest.</w:t>
      </w:r>
    </w:p>
    <w:p>
      <w:r>
        <w:rPr>
          <w:b/>
        </w:rPr>
        <w:t xml:space="preserve">Ergebnis: </w:t>
      </w:r>
      <w:r>
        <w:t>Trotz vergleichbarer Neutralisierungsantikörper-Titer zeigten TB-Patienten minimale Änderungen der Plasma-Proteome und Transkriptome nach Impfung, während Gesunde breit angelegte Umweltungen aufwiesen. TB-Patienten hatten baseline-Deplation von Proteinen in Vesikel-Transport- und Phagozytose-Wegen und verminderte Immunzell-Infiltration nach Vakzination.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Vietnam/China (Nanjing) aber RCT-Design mit klaren molekularen Metriken, Übertragbar für Immunschwache</w:t>
      </w:r>
    </w:p>
    <w:p>
      <w:r>
        <w:rPr>
          <w:color w:val="5A7D3A"/>
          <w:sz w:val="18"/>
        </w:rPr>
        <w:t>https://pubmed.ncbi.nlm.nih.gov/42827549/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