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Impfen und Praevention</w:t>
      </w:r>
    </w:p>
    <w:p>
      <w:r>
        <w:rPr>
          <w:i/>
          <w:color w:val="666666"/>
          <w:sz w:val="18"/>
        </w:rPr>
        <w:t>Stand: 13.10.2026  |  307 Studien  |  impfen.m-vf.de</w:t>
      </w:r>
    </w:p>
    <w:p>
      <w:pPr>
        <w:pStyle w:val="Heading1"/>
      </w:pPr>
      <w:r>
        <w:t>Aufgenommen am 13.10.2026</w:t>
      </w:r>
    </w:p>
    <w:p>
      <w:pPr>
        <w:pStyle w:val="Heading2"/>
      </w:pPr>
      <w:r>
        <w:t>Was Ältere in Peking von Grippeimpfung abhält und anzieht</w:t>
      </w:r>
    </w:p>
    <w:p>
      <w:r>
        <w:rPr>
          <w:i/>
          <w:color w:val="666666"/>
          <w:sz w:val="18"/>
        </w:rPr>
        <w:t>Jia M et al.  ·  JAMA Netw Open  ·  01.10.2026  ·  PMID 42862555</w:t>
      </w:r>
    </w:p>
    <w:p>
      <w:r>
        <w:t>Diskrete Wahlexperimente mit 514 Personen über 60 Jahren in zwei Pekinger Bezirken identifizierten Faktoren, die die Bereitschaft zur Grippeimpfung erhöhen oder senken.</w:t>
      </w:r>
    </w:p>
    <w:p>
      <w:r>
        <w:rPr>
          <w:b/>
        </w:rPr>
        <w:t xml:space="preserve">Ergebnis: </w:t>
      </w:r>
      <w:r>
        <w:t>Höhere Impfstoffwirksamkeit (+30,7 Prozentpunkte bei Steigerung von 20 auf 80 Prozent), Telefonerinnerungen und Botschaften zum Schutz von Familienangehörigen erhöhten die Akzeptanz; höhere wahrgenommene Risiken von Nebenwirkungen senkten sie um 20 Prozentpunkte. Nie-Geimpfte zeigten weniger Gewicht auf Wirksamkeit und höhere Sensitivität für Nebenwirkungsrisiken.</w:t>
      </w:r>
    </w:p>
    <w:p>
      <w:r>
        <w:rPr>
          <w:b/>
          <w:sz w:val="19"/>
        </w:rPr>
        <w:t xml:space="preserve">Übertragbarkeit: </w:t>
      </w:r>
      <w:r>
        <w:rPr>
          <w:sz w:val="19"/>
        </w:rPr>
        <w:t>China, Wahlexperiment mit hohem Evidenzlevel, aber andere epidemiologische Ausgangslage und Versorgungsstruktur</w:t>
      </w:r>
    </w:p>
    <w:p>
      <w:r>
        <w:rPr>
          <w:color w:val="5A7D3A"/>
          <w:sz w:val="18"/>
        </w:rPr>
        <w:t>https://pubmed.ncbi.nlm.nih.gov/42862555/</w:t>
      </w:r>
    </w:p>
    <w:p>
      <w:pPr>
        <w:pStyle w:val="Heading2"/>
      </w:pPr>
      <w:r>
        <w:t>Spurenelemente beeinflussen Antikörperantwort auf COVID-19-Impfung bei Rheuma nicht</w:t>
      </w:r>
    </w:p>
    <w:p>
      <w:r>
        <w:rPr>
          <w:i/>
          <w:color w:val="666666"/>
          <w:sz w:val="18"/>
        </w:rPr>
        <w:t>Gadbaan Hama S  ·  J Infect Dev Ctries  ·  30.09.2026  ·  PMID 42858342</w:t>
      </w:r>
    </w:p>
    <w:p>
      <w:r>
        <w:t>Querschnittsstudie mit 79 Rheuma-Patienten und 47 Kontrollen im Irak, die Zink-, Kupfer-, Magnesium- und Ceruloplasmin-Spiegel mit COVID-19-Impfantikörper-Positivität in Beziehung setzte.</w:t>
      </w:r>
    </w:p>
    <w:p>
      <w:r>
        <w:rPr>
          <w:b/>
        </w:rPr>
        <w:t xml:space="preserve">Ergebnis: </w:t>
      </w:r>
      <w:r>
        <w:t>Signifikante Unterschiede in Spurenelementspiegeln zwischen Geimpften und Ungeimpften (p &lt; 0,05), aber keine signifikanten Assoziationen zwischen IgG-Positivität und Spurenelemantkatus in einer Gruppe (p &gt; 0,05). DMARD-Therapie war nicht signifikant mit IgG-Response assoziiert (p = 0,439). Breite humorale Immunität trotz unterschiedlicher Nährstoff- und therapeutischer Profile.</w:t>
      </w:r>
    </w:p>
    <w:p>
      <w:r>
        <w:rPr>
          <w:b/>
          <w:sz w:val="19"/>
        </w:rPr>
        <w:t xml:space="preserve">Übertragbarkeit: </w:t>
      </w:r>
      <w:r>
        <w:rPr>
          <w:sz w:val="19"/>
        </w:rPr>
        <w:t>Irak, einfaches Querschnitt-Design, aber klinisch relevante Frage für Immunsupprimierte</w:t>
      </w:r>
    </w:p>
    <w:p>
      <w:r>
        <w:rPr>
          <w:color w:val="5A7D3A"/>
          <w:sz w:val="18"/>
        </w:rPr>
        <w:t>https://pubmed.ncbi.nlm.nih.gov/42858342/</w:t>
      </w:r>
    </w:p>
    <w:p>
      <w:pPr>
        <w:pStyle w:val="Heading2"/>
      </w:pPr>
      <w:r>
        <w:t>BCG-Impfung könnte Immunschwäche bei Nierenkranken über trainierte Immunität umkehren</w:t>
      </w:r>
    </w:p>
    <w:p>
      <w:r>
        <w:rPr>
          <w:i/>
          <w:color w:val="666666"/>
          <w:sz w:val="18"/>
        </w:rPr>
        <w:t>Sharma R et al.  ·  Indian J Med Res  ·  Aug. 2026  ·  PMID 42851218</w:t>
      </w:r>
    </w:p>
    <w:p>
      <w:r>
        <w:t>Ein Übersichtsartikel beschreibt, wie BCG-Impfung durch epigenetische Umprograierung der angeborenen Immunität (trainierte Immunität) die Impfantwort und Infektionsabwehr bei Patienten mit chronischer Nierenkrankheit möglicherweise verbessern könnte.</w:t>
      </w:r>
    </w:p>
    <w:p>
      <w:r>
        <w:rPr>
          <w:b/>
        </w:rPr>
        <w:t xml:space="preserve">Ergebnis: </w:t>
      </w:r>
      <w:r>
        <w:t>BCG stimuliert NOD2- und Akt/mTOR-Signalwege, erhöht aktivierende Histonmarken (H3K4me3) bei Zytokingenen und stabilisiert repressive Marken (H3K9me3) in nicht-essentiellen Genomabschnitten. Dies erzeugt transkriptionell permissives Chromatin, das Phagozytose und antimikrobielle Aktivität von Monozyten, Makrophagen und Neutrophilen steigert. Der Mechanismus ist hypothetisch; klinische Evidenz fehlt.</w:t>
      </w:r>
    </w:p>
    <w:p>
      <w:r>
        <w:rPr>
          <w:b/>
          <w:sz w:val="19"/>
        </w:rPr>
        <w:t xml:space="preserve">Übertragbarkeit: </w:t>
      </w:r>
      <w:r>
        <w:rPr>
          <w:sz w:val="19"/>
        </w:rPr>
        <w:t>Theoretische Übersicht ohne empirische Daten, spekulativ für vulnerable Population, keine direkten Versorgungsdaten</w:t>
      </w:r>
    </w:p>
    <w:p>
      <w:r>
        <w:rPr>
          <w:color w:val="5A7D3A"/>
          <w:sz w:val="18"/>
        </w:rPr>
        <w:t>https://pubmed.ncbi.nlm.nih.gov/42851218/</w:t>
      </w:r>
    </w:p>
    <w:p>
      <w:pPr>
        <w:pStyle w:val="Heading2"/>
      </w:pPr>
      <w:r>
        <w:t>COVID-19-Impfstoffe verlangsamen nicht die Nierenkrankheit</w:t>
      </w:r>
    </w:p>
    <w:p>
      <w:r>
        <w:rPr>
          <w:i/>
          <w:color w:val="666666"/>
          <w:sz w:val="18"/>
        </w:rPr>
        <w:t>Emre T et al.  ·  Clin Lab  ·  01.10.2026  ·  PMID 42847950</w:t>
      </w:r>
    </w:p>
    <w:p>
      <w:r>
        <w:t>Retrospektive Kohortenstudie mit 140 Nierenpatienten an einem Krankenhaus in der Türkei, die vor, während und 24 Monate nach Impfung die Nierenfunktion verfolgten.</w:t>
      </w:r>
    </w:p>
    <w:p>
      <w:r>
        <w:rPr>
          <w:b/>
        </w:rPr>
        <w:t xml:space="preserve">Ergebnis: </w:t>
      </w:r>
      <w:r>
        <w:t>Alle drei Impfgruppen (nur BioNTech, nur inaktiviert, gemischt) zeigten signifikante Verschlechterungen der eGFR und Kreatinin-Anstiege über 5 Jahre (p &lt; 0,001), aber keine signifikanten Unterschiede zwischen den Impftypen (p &gt; 0,05). Weder mRNA- noch inaktivierte COVID-19-Impfstoffe beschleunigten die Nierenkrankheit.</w:t>
      </w:r>
    </w:p>
    <w:p>
      <w:r>
        <w:rPr>
          <w:b/>
          <w:sz w:val="19"/>
        </w:rPr>
        <w:t xml:space="preserve">Übertragbarkeit: </w:t>
      </w:r>
      <w:r>
        <w:rPr>
          <w:sz w:val="19"/>
        </w:rPr>
        <w:t>Türkei, retrospektiv, kleiner Kreis, aber Sicherheitssignal adressiert häufige Sorge bei vulnerable Population</w:t>
      </w:r>
    </w:p>
    <w:p>
      <w:r>
        <w:rPr>
          <w:color w:val="5A7D3A"/>
          <w:sz w:val="18"/>
        </w:rPr>
        <w:t>https://pubmed.ncbi.nlm.nih.gov/42847950/</w:t>
      </w:r>
    </w:p>
    <w:p>
      <w:pPr>
        <w:pStyle w:val="Heading2"/>
      </w:pPr>
      <w:r>
        <w:t>Tuberkulose-Patienten zeigen abgeschwächte Immunantwort auf COVID-19-Impfung trotz Antikörper</w:t>
      </w:r>
    </w:p>
    <w:p>
      <w:r>
        <w:rPr>
          <w:i/>
          <w:color w:val="666666"/>
          <w:sz w:val="18"/>
        </w:rPr>
        <w:t>Jiang Z et al.  ·  Front Immunol  ·  18.09.2026  ·  PMID 42827549</w:t>
      </w:r>
    </w:p>
    <w:p>
      <w:r>
        <w:t>Eine Substudie einer RCT verglich 38 TB-Patienten unter Therapie mit 38 Gesunden nach COVID-19-Impfung mittels Proteomik, Transkriptomik und Antikörpertest.</w:t>
      </w:r>
    </w:p>
    <w:p>
      <w:r>
        <w:rPr>
          <w:b/>
        </w:rPr>
        <w:t xml:space="preserve">Ergebnis: </w:t>
      </w:r>
      <w:r>
        <w:t>Trotz vergleichbarer Neutralisierungsantikörper-Titer zeigten TB-Patienten minimale Änderungen der Plasma-Proteome und Transkriptome nach Impfung, während Gesunde breit angelegte Umweltungen aufwiesen. TB-Patienten hatten baseline-Deplation von Proteinen in Vesikel-Transport- und Phagozytose-Wegen und verminderte Immunzell-Infiltration nach Vakzination.</w:t>
      </w:r>
    </w:p>
    <w:p>
      <w:r>
        <w:rPr>
          <w:b/>
          <w:sz w:val="19"/>
        </w:rPr>
        <w:t xml:space="preserve">Übertragbarkeit: </w:t>
      </w:r>
      <w:r>
        <w:rPr>
          <w:sz w:val="19"/>
        </w:rPr>
        <w:t>Vietnam/China (Nanjing) aber RCT-Design mit klaren molekularen Metriken, Übertragbar für Immunschwache</w:t>
      </w:r>
    </w:p>
    <w:p>
      <w:r>
        <w:rPr>
          <w:color w:val="5A7D3A"/>
          <w:sz w:val="18"/>
        </w:rPr>
        <w:t>https://pubmed.ncbi.nlm.nih.gov/42827549/</w:t>
      </w:r>
    </w:p>
    <w:p>
      <w:pPr>
        <w:pStyle w:val="Heading1"/>
      </w:pPr>
      <w:r>
        <w:t>Aufgenommen am 12.10.2026</w:t>
      </w:r>
    </w:p>
    <w:p>
      <w:pPr>
        <w:pStyle w:val="Heading2"/>
      </w:pPr>
      <w:r>
        <w:t>COVID-19-Impfung reduziert Risiko für Post-COVID-Herzerkrankungen</w:t>
      </w:r>
    </w:p>
    <w:p>
      <w:r>
        <w:rPr>
          <w:i/>
          <w:color w:val="666666"/>
          <w:sz w:val="18"/>
        </w:rPr>
        <w:t>Maria LFBS et al.  ·  Rev Med Virol  ·  Nov. 2026  ·  PMID 42858449</w:t>
      </w:r>
    </w:p>
    <w:p>
      <w:r>
        <w:t>Systematische Qualitative Synthese der Evidenz nach Bradford Hill-Kriterien und Sufficient Component Cause-Modell zur Frage, ob Impfung vor Post-COVID-Herz-Kreislauf-Komplikationen schützt.</w:t>
      </w:r>
    </w:p>
    <w:p>
      <w:r>
        <w:rPr>
          <w:b/>
        </w:rPr>
        <w:t xml:space="preserve">Ergebnis: </w:t>
      </w:r>
      <w:r>
        <w:t>COVID-19-Impfung erfüllte vier von neun Bradford-Hill-Kriterien als protektiver Faktor gegen Post-COVID-Kardiovaskulärerkrankungen: Assoziationsstärke, Konsistenz, Temporalität und biologischer Gradient. Drei Kriterien (biolog. Plausibilität, Kohärenz, Analogie) waren teilweise erfüllt. Schlussfolgerung: Impfung erwies sich wirksam über die Akutphase hinaus.</w:t>
      </w:r>
    </w:p>
    <w:p>
      <w:r>
        <w:rPr>
          <w:b/>
          <w:sz w:val="19"/>
        </w:rPr>
        <w:t xml:space="preserve">Übertragbarkeit: </w:t>
      </w:r>
      <w:r>
        <w:rPr>
          <w:sz w:val="19"/>
        </w:rPr>
        <w:t>Brasilien/Lateinamerika; Befund zur kardiovaskulären Langzeit-Schutzwirkung international übertragbar</w:t>
      </w:r>
    </w:p>
    <w:p>
      <w:r>
        <w:rPr>
          <w:color w:val="5A7D3A"/>
          <w:sz w:val="18"/>
        </w:rPr>
        <w:t>https://pubmed.ncbi.nlm.nih.gov/42858449/</w:t>
      </w:r>
    </w:p>
    <w:p>
      <w:pPr>
        <w:pStyle w:val="Heading2"/>
      </w:pPr>
      <w:r>
        <w:t>Impffieber wird durch Darmbakterienzusammensetzung geprägt</w:t>
      </w:r>
    </w:p>
    <w:p>
      <w:r>
        <w:rPr>
          <w:i/>
          <w:color w:val="666666"/>
          <w:sz w:val="18"/>
        </w:rPr>
        <w:t>Huus KE et al.  ·  Science  ·  08.10.2026  ·  PMID 42848888</w:t>
      </w:r>
    </w:p>
    <w:p>
      <w:r>
        <w:t>Longitudinale Profilerstellung der Darmflora bei 171 Erwachsenen nach mRNA-Impfung zeigte, dass Fieber mit niedriger intestinaler Entzündung und gesteigerten flagellierten Lachnospiraceae-Bakterien korreliert.</w:t>
      </w:r>
    </w:p>
    <w:p>
      <w:r>
        <w:rPr>
          <w:b/>
        </w:rPr>
        <w:t xml:space="preserve">Ergebnis: </w:t>
      </w:r>
      <w:r>
        <w:t>Fieberhäufigkeit war mit mikrobiellem Entzündungsstatus und Flagellin-Expressionsprofilen assoziiert. Diät und Mikrobiom-Targeting könnten Impfnebenwirkungen reduzieren, ohne dass damit Impfeffektivität gefährdet wäre – nur lokale Immuntoleranz wird moduliert.</w:t>
      </w:r>
    </w:p>
    <w:p>
      <w:r>
        <w:rPr>
          <w:b/>
          <w:sz w:val="19"/>
        </w:rPr>
        <w:t xml:space="preserve">Übertragbarkeit: </w:t>
      </w:r>
      <w:r>
        <w:rPr>
          <w:sz w:val="19"/>
        </w:rPr>
        <w:t>Deutschland mit vergleichbarer Bevölkerungsstruktur; Befund zu Immunmechanismus ist universell übertragbar</w:t>
      </w:r>
    </w:p>
    <w:p>
      <w:r>
        <w:rPr>
          <w:color w:val="5A7D3A"/>
          <w:sz w:val="18"/>
        </w:rPr>
        <w:t>https://pubmed.ncbi.nlm.nih.gov/42848888/</w:t>
      </w:r>
    </w:p>
    <w:p>
      <w:pPr>
        <w:pStyle w:val="Heading2"/>
      </w:pPr>
      <w:r>
        <w:t>HPV-Impfbereitschaft hängt von Risikobewusstsein, Vertrauen und Informationsquellen ab</w:t>
      </w:r>
    </w:p>
    <w:p>
      <w:r>
        <w:rPr>
          <w:i/>
          <w:color w:val="666666"/>
          <w:sz w:val="18"/>
        </w:rPr>
        <w:t>Thomas Gil M et al.  ·  Hum Vaccin Immunother  ·  08.10.2026  ·  PMID 42847160</w:t>
      </w:r>
    </w:p>
    <w:p>
      <w:r>
        <w:t>Querschnittsumfrage unter indischen Studentinnen integrierte Konstrukte aus Health Belief Model, Protection Motivation Theory und 3Cs-Rahmen, um Determinanten der Impfbereitschaft und des Impfverhaltens zu untersuchen.</w:t>
      </w:r>
    </w:p>
    <w:p>
      <w:r>
        <w:rPr>
          <w:b/>
        </w:rPr>
        <w:t xml:space="preserve">Ergebnis: </w:t>
      </w:r>
      <w:r>
        <w:t>Wahrgenommene Schweregrad und Anfälligkeit sowie Impfvertrauen erhöhten Impfbereitschaft (+), Selbstzufriedenheit senkte sie (−). Impfbereitschaft mediierte signifikant die Effekte auf tatsächliches Impfverhalten. HPV-Impfempfehlungen und Informationsquellen hatten begrenzt verstärkende Moderatoren-Effekte.</w:t>
      </w:r>
    </w:p>
    <w:p>
      <w:r>
        <w:rPr>
          <w:b/>
          <w:sz w:val="19"/>
        </w:rPr>
        <w:t xml:space="preserve">Übertragbarkeit: </w:t>
      </w:r>
      <w:r>
        <w:rPr>
          <w:sz w:val="19"/>
        </w:rPr>
        <w:t>Indien; Einflussfaktoren auf Impfverhalten sind kulturübergreifend relevant, aber Interventionsdesign muss an deutsche Kontexte angepasst werden</w:t>
      </w:r>
    </w:p>
    <w:p>
      <w:r>
        <w:rPr>
          <w:color w:val="5A7D3A"/>
          <w:sz w:val="18"/>
        </w:rPr>
        <w:t>https://pubmed.ncbi.nlm.nih.gov/42847160/</w:t>
      </w:r>
    </w:p>
    <w:p>
      <w:pPr>
        <w:pStyle w:val="Heading2"/>
      </w:pPr>
      <w:r>
        <w:t>Impfung senkt COVID-19-Hospitalisierung bei Rheumapatienten deutlich</w:t>
      </w:r>
    </w:p>
    <w:p>
      <w:r>
        <w:rPr>
          <w:i/>
          <w:color w:val="666666"/>
          <w:sz w:val="18"/>
        </w:rPr>
        <w:t>Ak F et al.  ·  Front Public Health  ·  22.09.2026  ·  PMID 42840118</w:t>
      </w:r>
    </w:p>
    <w:p>
      <w:r>
        <w:t>Retrospektive Kohortenstudie von 1.024 Rheumapatienten (März 2020–Januar 2023): Assoziationen zwischen Krankheitssubtyp, Behandlung, Impfstatus und COVID-19-Infektions- sowie Hospitalisierungsrisiko untersucht.</w:t>
      </w:r>
    </w:p>
    <w:p>
      <w:r>
        <w:rPr>
          <w:b/>
        </w:rPr>
        <w:t xml:space="preserve">Ergebnis: </w:t>
      </w:r>
      <w:r>
        <w:t>Von 1.024 Patienten entwickelten 33,9% COVID-19; 92,3% der Nicht-Infizierten waren geimpft vs. 23,9% der Infizierten (p&lt;0,001). Hospitalisiert wurden 11,5% der COVID-19-Positiven; Prädiktoren: höheres Alter, Lungenbeteiligung, längere Krankheitsdauer. BNT162b2-Impfung war mit niedrigerem Hospitalisierungsrisiko assoziiert.</w:t>
      </w:r>
    </w:p>
    <w:p>
      <w:r>
        <w:rPr>
          <w:b/>
          <w:sz w:val="19"/>
        </w:rPr>
        <w:t xml:space="preserve">Übertragbarkeit: </w:t>
      </w:r>
      <w:r>
        <w:rPr>
          <w:sz w:val="19"/>
        </w:rPr>
        <w:t>Türkei mit westlichem Versicherungssystem; Befund zum Schutzeffekt durch Impfung bei Immunsuppression auf deutsche Rheumatologie direkt übertragbar</w:t>
      </w:r>
    </w:p>
    <w:p>
      <w:r>
        <w:rPr>
          <w:color w:val="5A7D3A"/>
          <w:sz w:val="18"/>
        </w:rPr>
        <w:t>https://pubmed.ncbi.nlm.nih.gov/42840118/</w:t>
      </w:r>
    </w:p>
    <w:p>
      <w:pPr>
        <w:pStyle w:val="Heading2"/>
      </w:pPr>
      <w:r>
        <w:t>Neues CAR-T-Zielprotein MPZL1 könnte Spektrum von Tumorarten erweitern</w:t>
      </w:r>
    </w:p>
    <w:p>
      <w:r>
        <w:rPr>
          <w:i/>
          <w:color w:val="666666"/>
          <w:sz w:val="18"/>
        </w:rPr>
        <w:t>Jiménez-Vázquez S et al.  ·  Nat Commun  ·  10.09.2026  ·  PMID 42722692</w:t>
      </w:r>
    </w:p>
    <w:p>
      <w:r>
        <w:t>Entwicklung und präklinische Testung von CAR-T-Zellen gegen MPZL1, ein Oberflächenprotein, das bei bis zu 75% bestimmter Tumortypen amplifiziert ist und kaum auf Normalgewebe vorkommt.</w:t>
      </w:r>
    </w:p>
    <w:p>
      <w:r>
        <w:rPr>
          <w:b/>
        </w:rPr>
        <w:t xml:space="preserve">Ergebnis: </w:t>
      </w:r>
      <w:r>
        <w:t>CAR-T-Zellen gegen MPZL1 zeigten In-vitro-Eliminationsaktivität und Antitumoraktivität in menschlichen Xenograft-, autochthonen Maus- und patientenabgeleiteten Modellen. Die Arbeiten liefern grundsätzlich einen neuen Zielansatz; klinische Überprüfung steht aus.</w:t>
      </w:r>
    </w:p>
    <w:p>
      <w:r>
        <w:rPr>
          <w:b/>
          <w:sz w:val="19"/>
        </w:rPr>
        <w:t xml:space="preserve">Übertragbarkeit: </w:t>
      </w:r>
      <w:r>
        <w:rPr>
          <w:sz w:val="19"/>
        </w:rPr>
        <w:t>Deutschland mit vergleichbarem Zelltherapie-Standard; Befund zu Targetidentifikation prinzipiell universell</w:t>
      </w:r>
    </w:p>
    <w:p>
      <w:r>
        <w:rPr>
          <w:color w:val="5A7D3A"/>
          <w:sz w:val="18"/>
        </w:rPr>
        <w:t>https://pubmed.ncbi.nlm.nih.gov/42722692/</w:t>
      </w:r>
    </w:p>
    <w:p>
      <w:pPr>
        <w:pStyle w:val="Heading2"/>
      </w:pPr>
      <w:r>
        <w:t>Dezentralisierte CAR-T-Herstellung könnte Zugangshürden in Europa senken</w:t>
      </w:r>
    </w:p>
    <w:p>
      <w:r>
        <w:rPr>
          <w:i/>
          <w:color w:val="666666"/>
          <w:sz w:val="18"/>
        </w:rPr>
        <w:t>Griebling D et al.  ·  Cytotherapy  ·  19.06.2026  ·  PMID 42696794</w:t>
      </w:r>
    </w:p>
    <w:p>
      <w:r>
        <w:t>Review des EASYGEN-Konsortiums zu Engpässen bei CAR-T-Therapie in Europa und Optionen für dezentralisierte Point-of-Care-Fertigung mit nichtviralen Gentransfer-Verfahren an mehreren Zentren.</w:t>
      </w:r>
    </w:p>
    <w:p>
      <w:r>
        <w:rPr>
          <w:b/>
        </w:rPr>
        <w:t xml:space="preserve">Ergebnis: </w:t>
      </w:r>
      <w:r>
        <w:t>Dezentralisierte Produktion und nichtvirale Gentransfer versprechen kürzere Vein-to-Vein-Zeiten, niedrigere Kosten und weniger Patienten-Verschlechterung während der Wartezeit. Konsortium schlägt vor: Standardisierung der Datenintegration und regulatorischer Rahmen für europäische Harmonisierung.</w:t>
      </w:r>
    </w:p>
    <w:p>
      <w:r>
        <w:rPr>
          <w:b/>
          <w:sz w:val="19"/>
        </w:rPr>
        <w:t xml:space="preserve">Übertragbarkeit: </w:t>
      </w:r>
      <w:r>
        <w:rPr>
          <w:sz w:val="19"/>
        </w:rPr>
        <w:t>Europäische Versorgungsarchitektur mit direktem Bezug zu Herstellungshürden in Deutschland und Nachbarländern</w:t>
      </w:r>
    </w:p>
    <w:p>
      <w:r>
        <w:rPr>
          <w:color w:val="5A7D3A"/>
          <w:sz w:val="18"/>
        </w:rPr>
        <w:t>https://pubmed.ncbi.nlm.nih.gov/42696794/</w:t>
      </w:r>
    </w:p>
    <w:p>
      <w:pPr>
        <w:pStyle w:val="Heading1"/>
      </w:pPr>
      <w:r>
        <w:t>Aufgenommen am 11.10.2026</w:t>
      </w:r>
    </w:p>
    <w:p>
      <w:pPr>
        <w:pStyle w:val="Heading2"/>
      </w:pPr>
      <w:r>
        <w:t>Impfbereitschaft bei europäischen Gesundheitsstudierenden: nur ein Drittel willig</w:t>
      </w:r>
    </w:p>
    <w:p>
      <w:r>
        <w:rPr>
          <w:i/>
          <w:color w:val="666666"/>
          <w:sz w:val="18"/>
        </w:rPr>
        <w:t>Yiallouris A et al.  ·  JMIR Public Health Surveill  ·  09.10.2026  ·  PMID 42854231</w:t>
      </w:r>
    </w:p>
    <w:p>
      <w:r>
        <w:t>Querschnittsbefragung von 1.192 europäischen Studierenden der Medizin, Zahnmedizin, Pflege, Pharmazie und verwandter Gesundheitsberufe zur Bereitschaft, an zukünftigen Impfstoffstudien teilzunehmen.</w:t>
      </w:r>
    </w:p>
    <w:p>
      <w:r>
        <w:rPr>
          <w:b/>
        </w:rPr>
        <w:t xml:space="preserve">Ergebnis: </w:t>
      </w:r>
      <w:r>
        <w:t>32,9 % zeigten Teilnahmebereitschaft, 38,8 % waren unentschlossen, 28,3 % unwillig. Hauptbarrieren: Angst vor Nebenwirkungen (74,6 %), Bedenken als "Versuchsperson" zu dienen (35,9 %). Motivatoren: transparente Sicherheitskommunikation, Verständnis von Risiken, persönliche Schutzgarantien.</w:t>
      </w:r>
    </w:p>
    <w:p>
      <w:r>
        <w:rPr>
          <w:b/>
          <w:sz w:val="19"/>
        </w:rPr>
        <w:t xml:space="preserve">Übertragbarkeit: </w:t>
      </w:r>
      <w:r>
        <w:rPr>
          <w:sz w:val="19"/>
        </w:rPr>
        <w:t>Europäische Verbundstudie, Transfer auf Rekrutierungsstrategien für Impfstudien in DACH begrenzt.</w:t>
      </w:r>
    </w:p>
    <w:p>
      <w:r>
        <w:rPr>
          <w:color w:val="5A7D3A"/>
          <w:sz w:val="18"/>
        </w:rPr>
        <w:t>https://pubmed.ncbi.nlm.nih.gov/42854231/</w:t>
      </w:r>
    </w:p>
    <w:p>
      <w:pPr>
        <w:pStyle w:val="Heading2"/>
      </w:pPr>
      <w:r>
        <w:t>HPV-Impfquoten in den USA: Schuleingangsanforderungen und Fachkompetenz essentiell</w:t>
      </w:r>
    </w:p>
    <w:p>
      <w:r>
        <w:rPr>
          <w:i/>
          <w:color w:val="666666"/>
          <w:sz w:val="18"/>
        </w:rPr>
        <w:t>Escabí-Wojna E et al.  ·  Front Public Health  ·  24.09.2026  ·  PMID 42851744</w:t>
      </w:r>
    </w:p>
    <w:p>
      <w:r>
        <w:t>Explorative qualitative Studie mit 9 Schlüsselpersonen aus 6 US-Bundesstaaten und -Bezirken zur Förderung der HPV-Impfung nach COVID-19.</w:t>
      </w:r>
    </w:p>
    <w:p>
      <w:r>
        <w:rPr>
          <w:b/>
        </w:rPr>
        <w:t xml:space="preserve">Ergebnis: </w:t>
      </w:r>
      <w:r>
        <w:t>Zentrale Erfolgsfaktoren identifiziert: Aufklärung der Impfanbieter, Schuleingangsanforderungen, Krebsprävention-Messaging, vertrauenswürdige Informanten, kultursensitive Ansprache, Sektorübergreifende Partnerschaften. Barrieren: Impfmissinformation, gestiegene Hesitancy post-COVID, regionale Unterschiede in Regelwerk.</w:t>
      </w:r>
    </w:p>
    <w:p>
      <w:r>
        <w:rPr>
          <w:b/>
          <w:sz w:val="19"/>
        </w:rPr>
        <w:t xml:space="preserve">Übertragbarkeit: </w:t>
      </w:r>
      <w:r>
        <w:rPr>
          <w:sz w:val="19"/>
        </w:rPr>
        <w:t>USA - Regelwerk und Zugangsstrukturen unterscheiden sich; Kommunikationsprinzipien übertragbar.</w:t>
      </w:r>
    </w:p>
    <w:p>
      <w:r>
        <w:rPr>
          <w:color w:val="5A7D3A"/>
          <w:sz w:val="18"/>
        </w:rPr>
        <w:t>https://pubmed.ncbi.nlm.nih.gov/42851744/</w:t>
      </w:r>
    </w:p>
    <w:p>
      <w:pPr>
        <w:pStyle w:val="Heading2"/>
      </w:pPr>
      <w:r>
        <w:t>Immunlücken bei Masern und Röteln: junge Frauen in China gefährdet</w:t>
      </w:r>
    </w:p>
    <w:p>
      <w:r>
        <w:rPr>
          <w:i/>
          <w:color w:val="666666"/>
          <w:sz w:val="18"/>
        </w:rPr>
        <w:t>Sun X et al.  ·  Front Immunol  ·  24.09.2026  ·  PMID 42851700</w:t>
      </w:r>
    </w:p>
    <w:p>
      <w:r>
        <w:t>Querschnittsseroepidemiologische Studie bei 1.196 schwangeren Frauen in der Provinz Jiangsu (China) zur Röteln-Immunität nach Impfung.</w:t>
      </w:r>
    </w:p>
    <w:p>
      <w:r>
        <w:rPr>
          <w:b/>
        </w:rPr>
        <w:t xml:space="preserve">Ergebnis: </w:t>
      </w:r>
      <w:r>
        <w:t>Gesamt-Seroprävalenz Röteln-IgG: 61,45 % (geometrisches Mittel 24,21 IE/mL). Seroprävalenz stieg mit Alter: 37,77 % bei ≤24 Jahren auf ~75 % bei ≥30 Jahren. Jüngere Geburtskohorten zeigten deutlich niedrigere Seroprävalenz und Antikörper, trotz anhaltend hoher RCV-Impfquoten. Maternal age war unabhängig mit Immunität assoziiert.</w:t>
      </w:r>
    </w:p>
    <w:p>
      <w:r>
        <w:rPr>
          <w:b/>
          <w:sz w:val="19"/>
        </w:rPr>
        <w:t xml:space="preserve">Übertragbarkeit: </w:t>
      </w:r>
      <w:r>
        <w:rPr>
          <w:sz w:val="19"/>
        </w:rPr>
        <w:t>China - Daten zeigen, dass auch bei etablierten Impfprogrammen Kohorten-Lücken entstehen; international relevantes Muster.</w:t>
      </w:r>
    </w:p>
    <w:p>
      <w:r>
        <w:rPr>
          <w:color w:val="5A7D3A"/>
          <w:sz w:val="18"/>
        </w:rPr>
        <w:t>https://pubmed.ncbi.nlm.nih.gov/42851700/</w:t>
      </w:r>
    </w:p>
    <w:p>
      <w:pPr>
        <w:pStyle w:val="Heading2"/>
      </w:pPr>
      <w:r>
        <w:t>Impfquoten gegen Atemwegsinfektionen bei Älteren bleiben deutlich unter Ziel</w:t>
      </w:r>
    </w:p>
    <w:p>
      <w:r>
        <w:rPr>
          <w:i/>
          <w:color w:val="666666"/>
          <w:sz w:val="18"/>
        </w:rPr>
        <w:t>Paccalin M et al.  ·  Geriatr Psychol Neuropsychiatr Vieil  ·  01.09.2026  ·  PMID 42842819</w:t>
      </w:r>
    </w:p>
    <w:p>
      <w:r>
        <w:t>Narrativer Review zu Epidemiologie, Effektivität und Empfehlungen für COVID-19-, RSV-, Influenza- und Pneumokokken-Impfungen bei älteren Menschen in Frankreich 2026.</w:t>
      </w:r>
    </w:p>
    <w:p>
      <w:r>
        <w:rPr>
          <w:b/>
        </w:rPr>
        <w:t xml:space="preserve">Ergebnis: </w:t>
      </w:r>
      <w:r>
        <w:t>Sichere und wirksame Impfstoffe für alle vier Infektionen verfügbar, aber Impfquoten bei Älteren und besonders bei Gesundheitspersonal deutlich unter Zielwert; post-COVID-Hesitancy gestiegen. Empfehlung: verbesserte Information und Aufklärung für Öffentlichkeit und Fachpersonal als wirksamste Strategie.</w:t>
      </w:r>
    </w:p>
    <w:p>
      <w:r>
        <w:rPr>
          <w:b/>
          <w:sz w:val="19"/>
        </w:rPr>
        <w:t xml:space="preserve">Übertragbarkeit: </w:t>
      </w:r>
      <w:r>
        <w:rPr>
          <w:sz w:val="19"/>
        </w:rPr>
        <w:t>Frankreich, vergleichbares Sozialversicherungssystem mit Deutschland.</w:t>
      </w:r>
    </w:p>
    <w:p>
      <w:r>
        <w:rPr>
          <w:color w:val="5A7D3A"/>
          <w:sz w:val="18"/>
        </w:rPr>
        <w:t>https://pubmed.ncbi.nlm.nih.gov/42842819/</w:t>
      </w:r>
    </w:p>
    <w:p>
      <w:pPr>
        <w:pStyle w:val="Heading2"/>
      </w:pPr>
      <w:r>
        <w:t>SARS-CoV-2-Impfung nach allogener Stammzelltransplantation: verzögerte Immunantwort, aber gut verträglich</w:t>
      </w:r>
    </w:p>
    <w:p>
      <w:r>
        <w:rPr>
          <w:i/>
          <w:color w:val="666666"/>
          <w:sz w:val="18"/>
        </w:rPr>
        <w:t>Crodel CC et al.  ·  J Cancer Res Clin Oncol  ·  01.10.2026  ·  PMID 42828557</w:t>
      </w:r>
    </w:p>
    <w:p>
      <w:r>
        <w:t>Retrospektive Kohortenstudie von 114 Patienten nach allogener hämatopoetischer Stammzelltransplantation (alloHSCT) zur Immunogenität und Sicherheit der SARS-CoV-2-Impfung.</w:t>
      </w:r>
    </w:p>
    <w:p>
      <w:r>
        <w:rPr>
          <w:b/>
        </w:rPr>
        <w:t xml:space="preserve">Ergebnis: </w:t>
      </w:r>
      <w:r>
        <w:t>89,4 % waren mindestens zweifach geimpft, 66,7 % dreifach. Nach 2. Dosis erreichten 81,8 % anti-Spike-IgG-Seropositivität, nach 3. Dosis 96,1 %. Patienten geimpft &lt;24 Monate nach alloHSCT hatten signifikant niedrigere IgG-Titer (p=0,017). Häufigste Nebenwirkungen: Armschmerz (34 %), Schwellung (14 %), Gliederschmerzen (17 %). Timing der Impfung beeinflusst Immunantwort.</w:t>
      </w:r>
    </w:p>
    <w:p>
      <w:r>
        <w:rPr>
          <w:b/>
          <w:sz w:val="19"/>
        </w:rPr>
        <w:t xml:space="preserve">Übertragbarkeit: </w:t>
      </w:r>
      <w:r>
        <w:rPr>
          <w:sz w:val="19"/>
        </w:rPr>
        <w:t>Deutsche Klinikdaten, Impfung von Hochrisikopatienten in Regeldokumenten häufig.</w:t>
      </w:r>
    </w:p>
    <w:p>
      <w:r>
        <w:rPr>
          <w:color w:val="5A7D3A"/>
          <w:sz w:val="18"/>
        </w:rPr>
        <w:t>https://pubmed.ncbi.nlm.nih.gov/42828557/</w:t>
      </w:r>
    </w:p>
    <w:p>
      <w:pPr>
        <w:pStyle w:val="Heading2"/>
      </w:pPr>
      <w:r>
        <w:t>Abwasser-Antikörper spiegeln Bevölkerungsimmunität gegen SARS-CoV-2 wider</w:t>
      </w:r>
    </w:p>
    <w:p>
      <w:r>
        <w:rPr>
          <w:i/>
          <w:color w:val="666666"/>
          <w:sz w:val="18"/>
        </w:rPr>
        <w:t>Wannigama DL et al.  ·  Water Res  ·  01.11.2026  ·  PMID 42542021</w:t>
      </w:r>
    </w:p>
    <w:p>
      <w:r>
        <w:t>Longitudinale Kohortenstudie über 3 Jahre (2020–2022) in urbanen und ländlichen Communities in Thailand (ca. 18 Mio. Menschen) zur Messung von Infektions- und Impfintensität via Abwasser.</w:t>
      </w:r>
    </w:p>
    <w:p>
      <w:r>
        <w:rPr>
          <w:b/>
        </w:rPr>
        <w:t xml:space="preserve">Ergebnis: </w:t>
      </w:r>
      <w:r>
        <w:t>Viral RNA zeigte schnellen Anstieg und Rückgang nach Symptombeginn; anti-SARS-CoV-2-IgG verzögert (Peak ~50 Tage), Persistenz mehrere Monate. Nach Impfstart und Infektionswellen konvergierten RNA- und Antikörper-Inzidenzschätzungen, besonders in hochgeimpften urbanen Gebieten. Abwasser-Antikörper korrelierten mit Impfquoten (verzögerter zeitlicher Zusammenhang), schwächer mit Mortalität. Modell ermöglicht parallele Erfassung von Infektionslast und Bevölkerungsimmunität.</w:t>
      </w:r>
    </w:p>
    <w:p>
      <w:r>
        <w:rPr>
          <w:b/>
          <w:sz w:val="19"/>
        </w:rPr>
        <w:t xml:space="preserve">Übertragbarkeit: </w:t>
      </w:r>
      <w:r>
        <w:rPr>
          <w:sz w:val="19"/>
        </w:rPr>
        <w:t>Thailand - Methodisch innovativ für Populationsüberwachung; deutsche Gesundheitsämter könnten Abwasser-Surveillance für Impfquoten-Monitoring nutzen.</w:t>
      </w:r>
    </w:p>
    <w:p>
      <w:r>
        <w:rPr>
          <w:color w:val="5A7D3A"/>
          <w:sz w:val="18"/>
        </w:rPr>
        <w:t>https://pubmed.ncbi.nlm.nih.gov/42542021/</w:t>
      </w:r>
    </w:p>
    <w:p>
      <w:pPr>
        <w:pStyle w:val="Heading1"/>
      </w:pPr>
      <w:r>
        <w:t>Aufgenommen am 10.10.2026</w:t>
      </w:r>
    </w:p>
    <w:p>
      <w:pPr>
        <w:pStyle w:val="Heading2"/>
      </w:pPr>
      <w:r>
        <w:t>COVID-19-Impfstoffe zeigen über alle Bevölkerungsgruppen hinweg vergleichbares Sicherheitsprofil</w:t>
      </w:r>
    </w:p>
    <w:p>
      <w:r>
        <w:rPr>
          <w:i/>
          <w:color w:val="666666"/>
          <w:sz w:val="18"/>
        </w:rPr>
        <w:t>Alidema F et al.  ·  Cent Eur J Public Health  ·  Sept. 2026  ·  PMID 42853050</w:t>
      </w:r>
    </w:p>
    <w:p>
      <w:r>
        <w:t>Retrospektive Kohortenstudie an 1.000 Personen im Kosovo (600 mit chronischen Erkrankungen, 400 ohne) zur Verträglichkeit nach drei COVID-19-Impfdosen.</w:t>
      </w:r>
    </w:p>
    <w:p>
      <w:r>
        <w:rPr>
          <w:b/>
        </w:rPr>
        <w:t xml:space="preserve">Ergebnis: </w:t>
      </w:r>
      <w:r>
        <w:t>68,5 % berichteten mindestens eine Nebenwirkung, höher bei chronischen Erkrankungen (74,3 %) vs. ohne (59,7 %; p = 0,01). Häufigste Reaktionen waren leicht und vorübergehend: Injektionsstelle-Schmerz (39,2 %), Fatigue (27,6 %), Kopfschmerz (21,4 %), leichtes Fieber (18,9 %). Schwerwiegende Ereignisse wie allergische oder kardiale Reaktionen waren selten (1,2 %). Keine signifikanten Unterschiede zwischen Impfstofftypen.</w:t>
      </w:r>
    </w:p>
    <w:p>
      <w:r>
        <w:rPr>
          <w:b/>
          <w:sz w:val="19"/>
        </w:rPr>
        <w:t xml:space="preserve">Übertragbarkeit: </w:t>
      </w:r>
      <w:r>
        <w:rPr>
          <w:sz w:val="19"/>
        </w:rPr>
        <w:t>Kosovo, aber Nebenwirkungsprofil international belastbar</w:t>
      </w:r>
    </w:p>
    <w:p>
      <w:r>
        <w:rPr>
          <w:color w:val="5A7D3A"/>
          <w:sz w:val="18"/>
        </w:rPr>
        <w:t>https://pubmed.ncbi.nlm.nih.gov/42853050/</w:t>
      </w:r>
    </w:p>
    <w:p>
      <w:pPr>
        <w:pStyle w:val="Heading2"/>
      </w:pPr>
      <w:r>
        <w:t>Ärztliche Empfehlung erhöht Influenzaimpfung bei Schwangeren um das Zehnfache</w:t>
      </w:r>
    </w:p>
    <w:p>
      <w:r>
        <w:rPr>
          <w:i/>
          <w:color w:val="666666"/>
          <w:sz w:val="18"/>
        </w:rPr>
        <w:t>Uzun A et al.  ·  Cent Eur J Public Health  ·  11.09.2026  ·  PMID 42853049</w:t>
      </w:r>
    </w:p>
    <w:p>
      <w:r>
        <w:t>Prospektive Beobachtungsstudie an 356 schwangeren Frauen in der Türkei zur Frage, ob eine ärztliche Impfempfehlung die Inanspruchnahme von Influenzaimpfstoff beeinflusst.</w:t>
      </w:r>
    </w:p>
    <w:p>
      <w:r>
        <w:rPr>
          <w:b/>
        </w:rPr>
        <w:t xml:space="preserve">Ergebnis: </w:t>
      </w:r>
      <w:r>
        <w:t>Gesamtquote der Influenzaimpfung in der Schwangerschaft 7,6 %. Bei ärztlicher Empfehlung stieg die Quote auf 15,2 % gegenüber 1,5 % ohne Empfehlung (RR 10,0; 95%-KI 3,07–32,69; p &lt; 0,001). In multivariater Analyse blieb die ärztliche Empfehlung unabhängiger Prädiktor (aOR 10,39; 95%-KI 3,00–35,97; p &lt; 0,001). Häufigste Ablehnungsgründe: mangelndes Vertrauen (42,2 %) und wahrgenommene Unnötigkeit (36,2 %).</w:t>
      </w:r>
    </w:p>
    <w:p>
      <w:r>
        <w:rPr>
          <w:b/>
          <w:sz w:val="19"/>
        </w:rPr>
        <w:t xml:space="preserve">Übertragbarkeit: </w:t>
      </w:r>
      <w:r>
        <w:rPr>
          <w:sz w:val="19"/>
        </w:rPr>
        <w:t>Türkei, aber Befund zu Arzt-Patient-Kommunikation international übertragbar</w:t>
      </w:r>
    </w:p>
    <w:p>
      <w:r>
        <w:rPr>
          <w:color w:val="5A7D3A"/>
          <w:sz w:val="18"/>
        </w:rPr>
        <w:t>https://pubmed.ncbi.nlm.nih.gov/42853049/</w:t>
      </w:r>
    </w:p>
    <w:p>
      <w:pPr>
        <w:pStyle w:val="Heading2"/>
      </w:pPr>
      <w:r>
        <w:t>HPV-Impfung ab 27 Jahren: wer profitiert, wann anbieten, wie beraten</w:t>
      </w:r>
    </w:p>
    <w:p>
      <w:r>
        <w:rPr>
          <w:i/>
          <w:color w:val="666666"/>
          <w:sz w:val="18"/>
        </w:rPr>
        <w:t>Broul M et al.  ·  Cent Eur J Public Health  ·  Sept. 2026  ·  PMID 42853048</w:t>
      </w:r>
    </w:p>
    <w:p>
      <w:r>
        <w:t>Narrative Übersichtsarbeit, die internationale Leitlinien der WHO, ECDC und USA zur HPV-Impfung im Alter 27–45 Jahre in praktische Beratungsempfehlungen für Kliniker übersetzen möchte.</w:t>
      </w:r>
    </w:p>
    <w:p>
      <w:r>
        <w:rPr>
          <w:b/>
        </w:rPr>
        <w:t xml:space="preserve">Ergebnis: </w:t>
      </w:r>
      <w:r>
        <w:t>Globale und europäische Leitlinien betonen Nutzen von hoher Abdeckung vor Sexualdebüt und unterstützen keine Routineprogramme für Erwachsene. Im Gegensatz dazu empfehlen USA gemeinsame klinische Entscheidungsfindung für 27–45-Jährige, da manche — insbesondere nicht ausreichend Geimpfte, solche mit neuen Partnerschaften oder in Hochexpositions-Netzwerken (z. B. MSM) oder Immunsupprimierte — persönlichen Nutzen erhalten könnten. Impfwirksamkeit höchst bei Personen ohne vorherige Exposition gegenüber Impfstoff-HPV-Typen. Nach Zervixkonisation Evidenz gemischt.</w:t>
      </w:r>
    </w:p>
    <w:p>
      <w:r>
        <w:rPr>
          <w:b/>
          <w:sz w:val="19"/>
        </w:rPr>
        <w:t xml:space="preserve">Übertragbarkeit: </w:t>
      </w:r>
      <w:r>
        <w:rPr>
          <w:sz w:val="19"/>
        </w:rPr>
        <w:t>ECDC/Europa und USA, Beratungsrahmen auf deutsches System übertragbar</w:t>
      </w:r>
    </w:p>
    <w:p>
      <w:r>
        <w:rPr>
          <w:color w:val="5A7D3A"/>
          <w:sz w:val="18"/>
        </w:rPr>
        <w:t>https://pubmed.ncbi.nlm.nih.gov/42853048/</w:t>
      </w:r>
    </w:p>
    <w:p>
      <w:pPr>
        <w:pStyle w:val="Heading2"/>
      </w:pPr>
      <w:r>
        <w:t>Influenzaimpfstoff-Wirksamkeit 2024/2025 in China: moderate Schutzquote mit Kontaktmuster-Assoziation</w:t>
      </w:r>
    </w:p>
    <w:p>
      <w:r>
        <w:rPr>
          <w:i/>
          <w:color w:val="666666"/>
          <w:sz w:val="18"/>
        </w:rPr>
        <w:t>Chen L et al.  ·  J Glob Health  ·  09.10.2026  ·  PMID 42852605</w:t>
      </w:r>
    </w:p>
    <w:p>
      <w:r>
        <w:t>Test-Negativ-Fall-Kontroll-Studie an 928 ambulanten Patienten mit Infektionszeichen der oberen Atemwege an drei Sentinelkliniken in Xinjiang (Dezember 2024 bis März 2025).</w:t>
      </w:r>
    </w:p>
    <w:p>
      <w:r>
        <w:rPr>
          <w:b/>
        </w:rPr>
        <w:t xml:space="preserve">Ergebnis: </w:t>
      </w:r>
      <w:r>
        <w:t>921 Patienten eingeschlossen (121 influenzapositiv, 786 negativ). Gesamte angepasste Impfeffektivität gegen medizinisch betreute Influenza 42,3 % (95%-GI 11,1–62,5). Kinder (0–10 Jahre) und ältere Erwachsene (≥ 65 Jahre) mit positivem Test berichteten häufigere und längere soziale Kontakte als Negativ-Getestete. Sekvenzbefunde an 6 Proben deuteten auf keine größere Antigendiskrepanz mit Impfstoffstämmen.</w:t>
      </w:r>
    </w:p>
    <w:p>
      <w:r>
        <w:rPr>
          <w:b/>
          <w:sz w:val="19"/>
        </w:rPr>
        <w:t xml:space="preserve">Übertragbarkeit: </w:t>
      </w:r>
      <w:r>
        <w:rPr>
          <w:sz w:val="19"/>
        </w:rPr>
        <w:t>China, aber Wirksamkeitsendpunkt und Kontaktmuster international relevant</w:t>
      </w:r>
    </w:p>
    <w:p>
      <w:r>
        <w:rPr>
          <w:color w:val="5A7D3A"/>
          <w:sz w:val="18"/>
        </w:rPr>
        <w:t>https://pubmed.ncbi.nlm.nih.gov/42852605/</w:t>
      </w:r>
    </w:p>
    <w:p>
      <w:pPr>
        <w:pStyle w:val="Heading2"/>
      </w:pPr>
      <w:r>
        <w:t>COVID-19-Pandemie senkte Kinderimpfquoten in den Niederlanden anhaltend</w:t>
      </w:r>
    </w:p>
    <w:p>
      <w:r>
        <w:rPr>
          <w:i/>
          <w:color w:val="666666"/>
          <w:sz w:val="18"/>
        </w:rPr>
        <w:t>Pijpers J et al.  ·  Euro Surveill  ·  Okt. 2026  ·  PMID 42852520</w:t>
      </w:r>
    </w:p>
    <w:p>
      <w:r>
        <w:t>Niederländische Registeranalyse aller 2016–2024 geborenen Kinder zur Auswirkung von COVID-19 auf die Inanspruchnahme der Erstimpfung gegen Diphtherie, Tetanus, Pertussis und Poliomyelitis (DTaP-IPV) bis zum 6. Lebensmonat.</w:t>
      </w:r>
    </w:p>
    <w:p>
      <w:r>
        <w:rPr>
          <w:b/>
        </w:rPr>
        <w:t xml:space="preserve">Ergebnis: </w:t>
      </w:r>
      <w:r>
        <w:t>Unterbrochene Zeitreihenanalyse zeigte signifikante Abfälle bei Pandemiebeginn und -ende sowie fortlaufenden Rückgang während der Pandemie (OR 0,984; 95%-KI 0,981–0,986). In der Matched-Sibling-Analyse hatten Kinder, die während der Pandemie oder danach geimpft werden konnten, niedrigere Chancen als ihre vor der Pandemie geborenen Geschwister (Pandemie: OR 0,66, 95%-KI 0,55–0,80; nach Pandemie: OR 0,20, 95%-KI 0,17–0,25). Die Impfquoten erholten sich auch nach Ende der Pandemie nicht.</w:t>
      </w:r>
    </w:p>
    <w:p>
      <w:r>
        <w:rPr>
          <w:b/>
          <w:sz w:val="19"/>
        </w:rPr>
        <w:t xml:space="preserve">Übertragbarkeit: </w:t>
      </w:r>
      <w:r>
        <w:rPr>
          <w:sz w:val="19"/>
        </w:rPr>
        <w:t>Niederlande mit Impfregister und vergleichbarem Versicherungssystem</w:t>
      </w:r>
    </w:p>
    <w:p>
      <w:r>
        <w:rPr>
          <w:color w:val="5A7D3A"/>
          <w:sz w:val="18"/>
        </w:rPr>
        <w:t>https://pubmed.ncbi.nlm.nih.gov/42852520/</w:t>
      </w:r>
    </w:p>
    <w:p>
      <w:pPr>
        <w:pStyle w:val="Heading2"/>
      </w:pPr>
      <w:r>
        <w:t>Bildungsstand bestimmt COVID-19-Impfquote bei Schwangeren in Polen</w:t>
      </w:r>
    </w:p>
    <w:p>
      <w:r>
        <w:rPr>
          <w:i/>
          <w:color w:val="666666"/>
          <w:sz w:val="18"/>
        </w:rPr>
        <w:t>Hinca KM et al.  ·  Front Public Health  ·  24.09.2026  ·  PMID 42851628</w:t>
      </w:r>
    </w:p>
    <w:p>
      <w:r>
        <w:t>Querschnittstudie mit 675 schwangeren Frauen, die zwischen November 2021 und Februar 2022 im Kreißsaal aufgenommen wurden, zu Faktoren der COVID-19-Impfbereitschaft in der Gravidität.</w:t>
      </w:r>
    </w:p>
    <w:p>
      <w:r>
        <w:rPr>
          <w:b/>
        </w:rPr>
        <w:t xml:space="preserve">Ergebnis: </w:t>
      </w:r>
      <w:r>
        <w:t>Über 50 % der Befragten waren gegen COVID-19 in der Schwangerschaft geimpft. Niedrigere Schulbildung war konsistent mit niedrigerer Impfwahrscheinlichkeit assoziiert. Höheres Alter und Wohnort in Großstadt waren mit höherer Impfquote verknüpft. Geburtshilfliche Vorgeschichte zeigte keine signifikante Assoziation. Demografische Ungleichheit bei der Impfannahme bildete sich deutlich ab.</w:t>
      </w:r>
    </w:p>
    <w:p>
      <w:r>
        <w:rPr>
          <w:b/>
          <w:sz w:val="19"/>
        </w:rPr>
        <w:t xml:space="preserve">Übertragbarkeit: </w:t>
      </w:r>
      <w:r>
        <w:rPr>
          <w:sz w:val="19"/>
        </w:rPr>
        <w:t>Polen, vergleichbares europäisches Gesundheitssystem</w:t>
      </w:r>
    </w:p>
    <w:p>
      <w:r>
        <w:rPr>
          <w:color w:val="5A7D3A"/>
          <w:sz w:val="18"/>
        </w:rPr>
        <w:t>https://pubmed.ncbi.nlm.nih.gov/42851628/</w:t>
      </w:r>
    </w:p>
    <w:p>
      <w:pPr>
        <w:pStyle w:val="Heading1"/>
      </w:pPr>
      <w:r>
        <w:t>Aufgenommen am 09.10.2026</w:t>
      </w:r>
    </w:p>
    <w:p>
      <w:pPr>
        <w:pStyle w:val="Heading2"/>
      </w:pPr>
      <w:r>
        <w:t>Impfprice und Botschaftsrahmen beeinflussen Impfbereitschaft gegen Influenza in China</w:t>
      </w:r>
    </w:p>
    <w:p>
      <w:r>
        <w:rPr>
          <w:i/>
          <w:color w:val="666666"/>
          <w:sz w:val="18"/>
        </w:rPr>
        <w:t>Chu Y et al.  ·  Hum Vaccin Immunother  ·  31.12.2026  ·  PMID 42850200</w:t>
      </w:r>
    </w:p>
    <w:p>
      <w:r>
        <w:t>Experimentelle Studie mit 1.408 chinesischen Studierenden zur Wirkung von Preis, Nachrichtenframing (Gewinn vs. Verlust) und Werteorientierung (individualistisch vs. kollektivistisch) auf Bereitschaft zur Grippeimpfung.</w:t>
      </w:r>
    </w:p>
    <w:p>
      <w:r>
        <w:rPr>
          <w:b/>
        </w:rPr>
        <w:t xml:space="preserve">Ergebnis: </w:t>
      </w:r>
      <w:r>
        <w:t>Impfbereitschaft sank mit steigendem Preis signifikant. Bei kostenloser Impfung: keine signifikanten Unterschiede zwischen Botschaftstypen. Bei Bezahlung: Verlust-gerahmt und individualistisch-orientiert Botschaften wirksamer; individualistisch-Verlust-Botschaft zeigte stärksten Effekt. Perceived severity und vaccine effectiveness vermittelten den Effekt.</w:t>
      </w:r>
    </w:p>
    <w:p>
      <w:r>
        <w:rPr>
          <w:b/>
          <w:sz w:val="19"/>
        </w:rPr>
        <w:t xml:space="preserve">Übertragbarkeit: </w:t>
      </w:r>
      <w:r>
        <w:rPr>
          <w:sz w:val="19"/>
        </w:rPr>
        <w:t>China – Befragungsstudie; kulturelle Besonderheiten, begrenzte Übertragbarkeit auf Deutschland</w:t>
      </w:r>
    </w:p>
    <w:p>
      <w:r>
        <w:rPr>
          <w:color w:val="5A7D3A"/>
          <w:sz w:val="18"/>
        </w:rPr>
        <w:t>https://pubmed.ncbi.nlm.nih.gov/42850200/</w:t>
      </w:r>
    </w:p>
    <w:p>
      <w:pPr>
        <w:pStyle w:val="Heading2"/>
      </w:pPr>
      <w:r>
        <w:t>Pneumokokkenimpfung in Südafrika: Kosteneffektivität PCV20 vs. PPSV23 bei HIV-Risikogruppen</w:t>
      </w:r>
    </w:p>
    <w:p>
      <w:r>
        <w:rPr>
          <w:i/>
          <w:color w:val="666666"/>
          <w:sz w:val="18"/>
        </w:rPr>
        <w:t>Wang WW et al.  ·  Hum Vaccin Immunother  ·  08.10.2026  ·  PMID 42849061</w:t>
      </w:r>
    </w:p>
    <w:p>
      <w:r>
        <w:t>Statische Entscheidungsbaummodellierung aus Perspektive südafrikanischer Gesundheitskassen zur Kosteneffektivität von PCV20 vs. PPSV23 bei über 65-Jährigen, mit HIV-Stratifizierung.</w:t>
      </w:r>
    </w:p>
    <w:p>
      <w:r>
        <w:rPr>
          <w:b/>
        </w:rPr>
        <w:t xml:space="preserve">Ergebnis: </w:t>
      </w:r>
      <w:r>
        <w:t>Bei Allgemeinbevölkerung ≥65 Jahre: PCV20 mehr Gesundheitsnutzen, aber ICER 17.323 USD/QALY (nicht kosteneffektiv zu aktuellen Preisen). Bei älteren Erwachsenen mit HIV: ICER 2.104 USD/QALY (kosteneffektiv). Kosten Haupttreiber; zielgerichtete Impfung von HIV+ Älteren effizienter als universale Strategie.</w:t>
      </w:r>
    </w:p>
    <w:p>
      <w:r>
        <w:rPr>
          <w:b/>
          <w:sz w:val="19"/>
        </w:rPr>
        <w:t xml:space="preserve">Übertragbarkeit: </w:t>
      </w:r>
      <w:r>
        <w:rPr>
          <w:sz w:val="19"/>
        </w:rPr>
        <w:t>Südafrika – Modellstudie; HIV-Prävalenz und Ressourcenlimitierungen nicht auf Deutschland übertragbar</w:t>
      </w:r>
    </w:p>
    <w:p>
      <w:r>
        <w:rPr>
          <w:color w:val="5A7D3A"/>
          <w:sz w:val="18"/>
        </w:rPr>
        <w:t>https://pubmed.ncbi.nlm.nih.gov/42849061/</w:t>
      </w:r>
    </w:p>
    <w:p>
      <w:pPr>
        <w:pStyle w:val="Heading2"/>
      </w:pPr>
      <w:r>
        <w:t>Interventionen gegen Impfskepsis im Kindes- und Jugendalter 2012–2023: Integrative Übersicht</w:t>
      </w:r>
    </w:p>
    <w:p>
      <w:r>
        <w:rPr>
          <w:i/>
          <w:color w:val="666666"/>
          <w:sz w:val="18"/>
        </w:rPr>
        <w:t>Rocha FMD et al.  ·  Cien Saude Colet  ·  05.10.2026  ·  PMID 42848635</w:t>
      </w:r>
    </w:p>
    <w:p>
      <w:r>
        <w:t>Integrative Literaturübersicht über 45 Interventionsstudien zur Minderung von Vaccine Hesitancy bei Kinder- und Jugendimpfungen über 12 Jahre, systematisiert nach Methodik, Zielgruppe, Impfstoff und Evidenzlevel.</w:t>
      </w:r>
    </w:p>
    <w:p>
      <w:r>
        <w:rPr>
          <w:b/>
        </w:rPr>
        <w:t xml:space="preserve">Ergebnis: </w:t>
      </w:r>
      <w:r>
        <w:t>Mehrheit 2021–2023 veröffentlicht; quantitativ dominierend; Zielgruppe meist Eltern/Betreuer; häufigste Intervention: digitale Bildungsinhalte. Konvergenz mit Cs-Modell (Confidence, Complacency, Convenience). Interventionen können Strategien gegen Vaccine Hesitancy und evidenzgestützte Politiken informieren.</w:t>
      </w:r>
    </w:p>
    <w:p>
      <w:r>
        <w:rPr>
          <w:b/>
          <w:sz w:val="19"/>
        </w:rPr>
        <w:t xml:space="preserve">Übertragbarkeit: </w:t>
      </w:r>
      <w:r>
        <w:rPr>
          <w:sz w:val="19"/>
        </w:rPr>
        <w:t>Brasilien/Portugiesischsprachig – narrative Übersichtsarbeit ohne quantitativ beschriebene Erfolgsraten</w:t>
      </w:r>
    </w:p>
    <w:p>
      <w:r>
        <w:rPr>
          <w:color w:val="5A7D3A"/>
          <w:sz w:val="18"/>
        </w:rPr>
        <w:t>https://pubmed.ncbi.nlm.nih.gov/42848635/</w:t>
      </w:r>
    </w:p>
    <w:p>
      <w:pPr>
        <w:pStyle w:val="Heading2"/>
      </w:pPr>
      <w:r>
        <w:t>HPV-Impfung vor Schwangerschaft senkt Risiken für ungünstige Schwangerschaftsergebnisse</w:t>
      </w:r>
    </w:p>
    <w:p>
      <w:r>
        <w:rPr>
          <w:i/>
          <w:color w:val="666666"/>
          <w:sz w:val="18"/>
        </w:rPr>
        <w:t>Zhang Z et al.  ·  BMJ  ·  07.10.2026  ·  PMID 42843853</w:t>
      </w:r>
    </w:p>
    <w:p>
      <w:r>
        <w:t>Bevölkerungsbasierte Matched-Case-Control-Studie in Schweden zur Assoziation zwischen quadrivalenter HPV-Impfung vor Schwangerschaft und Schwangerschaftskomplikationen bei 624.713 Geburten zwischen 2006 und 2023.</w:t>
      </w:r>
    </w:p>
    <w:p>
      <w:r>
        <w:rPr>
          <w:b/>
        </w:rPr>
        <w:t xml:space="preserve">Ergebnis: </w:t>
      </w:r>
      <w:r>
        <w:t>HPV-Impfung war mit niedrigeren Odds für ungünstige Schwangerschaftsergebnisse assoziiert: Frühgeborene &lt;37 Wochen (aOR 0,95, 95%-KI 0,91–0,99), sehr Frühgeborene 28–31 Wochen (aOR 0,85, 95%-KI 0,75–0,97), schwere Wachstumsretardierung (aOR 0,92, 95%-KI 0,87–0,97). Nutzen größer bei Impfung in jüngerem Alter.</w:t>
      </w:r>
    </w:p>
    <w:p>
      <w:r>
        <w:rPr>
          <w:b/>
          <w:sz w:val="19"/>
        </w:rPr>
        <w:t xml:space="preserve">Übertragbarkeit: </w:t>
      </w:r>
      <w:r>
        <w:rPr>
          <w:sz w:val="19"/>
        </w:rPr>
        <w:t>Schweden – Registerdata, vergleichbares europäisches Gesundheitssystem</w:t>
      </w:r>
    </w:p>
    <w:p>
      <w:r>
        <w:rPr>
          <w:color w:val="5A7D3A"/>
          <w:sz w:val="18"/>
        </w:rPr>
        <w:t>https://pubmed.ncbi.nlm.nih.gov/42843853/</w:t>
      </w:r>
    </w:p>
    <w:p>
      <w:pPr>
        <w:pStyle w:val="Heading2"/>
      </w:pPr>
      <w:r>
        <w:t>Determinanten der Kinderimpfung unterscheiden sich in konfliktbetroffenen und stabilen Regionen Kameruns</w:t>
      </w:r>
    </w:p>
    <w:p>
      <w:r>
        <w:rPr>
          <w:i/>
          <w:color w:val="666666"/>
          <w:sz w:val="18"/>
        </w:rPr>
        <w:t>Rossi R et al.  ·  Front Public Health  ·  21.09.2026  ·  PMID 42835095</w:t>
      </w:r>
    </w:p>
    <w:p>
      <w:r>
        <w:t>Sekundäranalyse der Demographic and Health Survey 2018 Kamerun bei 1.824 Kindern im Alter 12–23 Monaten zur Assoziation zwischen Konfliktregionen und vollständiger Grundimpfung.</w:t>
      </w:r>
    </w:p>
    <w:p>
      <w:r>
        <w:rPr>
          <w:b/>
        </w:rPr>
        <w:t xml:space="preserve">Ergebnis: </w:t>
      </w:r>
      <w:r>
        <w:t>Gesamtimpfquote 53,1%; in Konfliktregionen 45,3% vs. nicht betroffen 56,0%. Nach Anpassung war Konflikt-Status nicht unabhängig assoziiert. Signifikante Prädiktoren überall: höheres Haushaltseinkommen, mütterliche Sekundar-/Hochschulbildung, Antenatal- und Postnatalbetreuung. Unterschiede nur in nicht-konfligierenden Regionen relevant.</w:t>
      </w:r>
    </w:p>
    <w:p>
      <w:r>
        <w:rPr>
          <w:b/>
          <w:sz w:val="19"/>
        </w:rPr>
        <w:t xml:space="preserve">Übertragbarkeit: </w:t>
      </w:r>
      <w:r>
        <w:rPr>
          <w:sz w:val="19"/>
        </w:rPr>
        <w:t>Kamerun – DHS-Daten; Armuts- und Konfliktkontext, begrenzte Übertragbarkeit</w:t>
      </w:r>
    </w:p>
    <w:p>
      <w:r>
        <w:rPr>
          <w:color w:val="5A7D3A"/>
          <w:sz w:val="18"/>
        </w:rPr>
        <w:t>https://pubmed.ncbi.nlm.nih.gov/42835095/</w:t>
      </w:r>
    </w:p>
    <w:p>
      <w:pPr>
        <w:pStyle w:val="Heading2"/>
      </w:pPr>
      <w:r>
        <w:t>Impfempfehlungen für pädiatrische Transplantationsempfänger – Positionspapier des europäischen Referenznetzwerks</w:t>
      </w:r>
    </w:p>
    <w:p>
      <w:r>
        <w:rPr>
          <w:i/>
          <w:color w:val="666666"/>
          <w:sz w:val="18"/>
        </w:rPr>
        <w:t>Casotti V et al.  ·  J Pediatr Gastroenterol Nutr  ·  07.08.2026  ·  PMID 42563542</w:t>
      </w:r>
    </w:p>
    <w:p>
      <w:r>
        <w:t>Systematische Übersichtsarbeit mit evidenzgestützten Empfehlungen zu Impfungen bei Kindern nach Solid-Organ- oder Stammzelltransplantation, basierend auf Literaturanalyse und Konsens von Fachleuten aus 13 europäischen Ländern.</w:t>
      </w:r>
    </w:p>
    <w:p>
      <w:r>
        <w:rPr>
          <w:b/>
        </w:rPr>
        <w:t xml:space="preserve">Ergebnis: </w:t>
      </w:r>
      <w:r>
        <w:t>Bisher niedrige Impfquoten trotz etablierter Richtlinien; Barrieren: unvollständiger Impfstatus vor Transplantation, reduzierte Wirksamkeit durch Immunsuppression, Timing-Unsicherheiten, Vaccine Hesitancy. Empfehlungen: zeitnahe Immunisierung, optimales Timing nach Immunrekonstitution, Catch-up-Impfungen vor Transplantation.</w:t>
      </w:r>
    </w:p>
    <w:p>
      <w:r>
        <w:rPr>
          <w:b/>
          <w:sz w:val="19"/>
        </w:rPr>
        <w:t xml:space="preserve">Übertragbarkeit: </w:t>
      </w:r>
      <w:r>
        <w:rPr>
          <w:sz w:val="19"/>
        </w:rPr>
        <w:t>Europa (13 Länder) – Positionspapier; deutsche Zentren teilweise beteiligt</w:t>
      </w:r>
    </w:p>
    <w:p>
      <w:r>
        <w:rPr>
          <w:color w:val="5A7D3A"/>
          <w:sz w:val="18"/>
        </w:rPr>
        <w:t>https://pubmed.ncbi.nlm.nih.gov/42563542/</w:t>
      </w:r>
    </w:p>
    <w:p>
      <w:pPr>
        <w:pStyle w:val="Heading1"/>
      </w:pPr>
      <w:r>
        <w:t>Aufgenommen am 08.10.2026</w:t>
      </w:r>
    </w:p>
    <w:p>
      <w:pPr>
        <w:pStyle w:val="Heading2"/>
      </w:pPr>
      <w:r>
        <w:t>Impfskepsis gegen COVID-19-Booster clustert in Haushalten und Gemeinden – China</w:t>
      </w:r>
    </w:p>
    <w:p>
      <w:r>
        <w:rPr>
          <w:i/>
          <w:color w:val="666666"/>
          <w:sz w:val="18"/>
        </w:rPr>
        <w:t>Zhang Y et al.  ·  JMIR Public Health Surveill  ·  07.10.2026  ·  PMID 42842944</w:t>
      </w:r>
    </w:p>
    <w:p>
      <w:r>
        <w:t>Haushaltsbasierte Querschnittsbefragung zur Clusterung von Vaccine Hesitancy gegenüber COVID-19-Booster-Impfung nach individuellen, Haushalts- und Gemeinde-Ebenen.</w:t>
      </w:r>
    </w:p>
    <w:p>
      <w:r>
        <w:rPr>
          <w:b/>
        </w:rPr>
        <w:t xml:space="preserve">Ergebnis: </w:t>
      </w:r>
      <w:r>
        <w:t>27,0 % zeigten gleichzeitige Hesitancy bei aktuellen und zukünftigen Booster-Absichten; 77,73 % der Varianz waren auf Haushalts- und Gemeinde-Ebene zurückzuführen; Selbstwirksamkeit und vorherige COVID-19-Impfung waren stärkste Schutzfaktoren gegen Hesitancy.</w:t>
      </w:r>
    </w:p>
    <w:p>
      <w:r>
        <w:rPr>
          <w:b/>
          <w:sz w:val="19"/>
        </w:rPr>
        <w:t xml:space="preserve">Übertragbarkeit: </w:t>
      </w:r>
      <w:r>
        <w:rPr>
          <w:sz w:val="19"/>
        </w:rPr>
        <w:t>China, soziales Clustern; Mechanismen für haushalts- und gemeindebasierte Interventionen gelten international.</w:t>
      </w:r>
    </w:p>
    <w:p>
      <w:r>
        <w:rPr>
          <w:color w:val="5A7D3A"/>
          <w:sz w:val="18"/>
        </w:rPr>
        <w:t>https://pubmed.ncbi.nlm.nih.gov/42842944/</w:t>
      </w:r>
    </w:p>
    <w:p>
      <w:pPr>
        <w:pStyle w:val="Heading2"/>
      </w:pPr>
      <w:r>
        <w:t>Herpes-zoster-Impfung an Zahlungsbarriere gescheitert – Intention-Verhalten-Lücke in Taiwan</w:t>
      </w:r>
    </w:p>
    <w:p>
      <w:r>
        <w:rPr>
          <w:i/>
          <w:color w:val="666666"/>
          <w:sz w:val="18"/>
        </w:rPr>
        <w:t>Liou FY et al.  ·  Hum Vaccin Immunother  ·  07.10.2026  ·  PMID 42842236</w:t>
      </w:r>
    </w:p>
    <w:p>
      <w:r>
        <w:t>Nationale Querschnittsumfrage zu Determinanten der Herpes-zoster-Impfung in einem System ohne universelle Kostenübernahme.</w:t>
      </w:r>
    </w:p>
    <w:p>
      <w:r>
        <w:rPr>
          <w:b/>
        </w:rPr>
        <w:t xml:space="preserve">Ergebnis: </w:t>
      </w:r>
      <w:r>
        <w:t>16,6 % waren geimpft; 80,9 % der Ungeimpften zeigten Impfbereitschaft; Preis war das Haupthindernis – Zahlungsbereitschaft lag unter Marktpreis (USD 32,80 vs. Marktpreis), aber Bewusstsein für Subventionsprogramme verdoppelte Impfodds (OR: 2,30).</w:t>
      </w:r>
    </w:p>
    <w:p>
      <w:r>
        <w:rPr>
          <w:b/>
          <w:sz w:val="19"/>
        </w:rPr>
        <w:t xml:space="preserve">Übertragbarkeit: </w:t>
      </w:r>
      <w:r>
        <w:rPr>
          <w:sz w:val="19"/>
        </w:rPr>
        <w:t>Selbstzahlermodell nicht übertragbar; Befunde zu Affordability-Barrieren bei Erwachsenenimpfungen relevant.</w:t>
      </w:r>
    </w:p>
    <w:p>
      <w:r>
        <w:rPr>
          <w:color w:val="5A7D3A"/>
          <w:sz w:val="18"/>
        </w:rPr>
        <w:t>https://pubmed.ncbi.nlm.nih.gov/42842236/</w:t>
      </w:r>
    </w:p>
    <w:p>
      <w:pPr>
        <w:pStyle w:val="Heading2"/>
      </w:pPr>
      <w:r>
        <w:t>Tetanus-Impfbereitschaft nach Trauma hängt von praktischer Zugänglichkeit ab – China</w:t>
      </w:r>
    </w:p>
    <w:p>
      <w:r>
        <w:rPr>
          <w:i/>
          <w:color w:val="666666"/>
          <w:sz w:val="18"/>
        </w:rPr>
        <w:t>Fang Q et al.  ·  Front Public Health  ·  21.09.2026  ·  PMID 42835057</w:t>
      </w:r>
    </w:p>
    <w:p>
      <w:r>
        <w:t>Querschnittsstudie zur Impfbereitschaft gegen Tetanus nach Traumata mit Verhaltensfaktoren und Zugangshürden (BeSD-Rahmen).</w:t>
      </w:r>
    </w:p>
    <w:p>
      <w:r>
        <w:rPr>
          <w:b/>
        </w:rPr>
        <w:t xml:space="preserve">Ergebnis: </w:t>
      </w:r>
      <w:r>
        <w:t>51,9 % zeigten Impfbereitschaft; praktische Zugänglichkeit zeigte stärkste Assoziation mit Impfintention (strukturelle Gleichungsmodellierung); nur 19,2 % der angezeigten Patienten erhielten dokumentiert Impfung innerhalb von 7 Tagen – obwohl 80,6 % grundsätzlich angezeigt waren.</w:t>
      </w:r>
    </w:p>
    <w:p>
      <w:r>
        <w:rPr>
          <w:b/>
          <w:sz w:val="19"/>
        </w:rPr>
        <w:t xml:space="preserve">Übertragbarkeit: </w:t>
      </w:r>
      <w:r>
        <w:rPr>
          <w:sz w:val="19"/>
        </w:rPr>
        <w:t>China; Befunde zu Zugangsbarrieren beim Post-Expositions-Impfen übertragbar.</w:t>
      </w:r>
    </w:p>
    <w:p>
      <w:r>
        <w:rPr>
          <w:color w:val="5A7D3A"/>
          <w:sz w:val="18"/>
        </w:rPr>
        <w:t>https://pubmed.ncbi.nlm.nih.gov/42835057/</w:t>
      </w:r>
    </w:p>
    <w:p>
      <w:pPr>
        <w:pStyle w:val="Heading2"/>
      </w:pPr>
      <w:r>
        <w:t>COVID-19-Impfung bei südafrikanischen Jugendlichen: Alter, Haushaltskontext und Pandemie-Nähe treiben Quote</w:t>
      </w:r>
    </w:p>
    <w:p>
      <w:r>
        <w:rPr>
          <w:i/>
          <w:color w:val="666666"/>
          <w:sz w:val="18"/>
        </w:rPr>
        <w:t>Dietrich JJ et al.  ·  Glob Health Action  ·  06.10.2026  ·  PMID 42834877</w:t>
      </w:r>
    </w:p>
    <w:p>
      <w:r>
        <w:t>Online-Querschnittsbefragung zu Prädiktoren der COVID-19-Impfung bei Jugendlichen (18–24 Jahre) in eThekwini, Südafrika.</w:t>
      </w:r>
    </w:p>
    <w:p>
      <w:r>
        <w:rPr>
          <w:b/>
        </w:rPr>
        <w:t xml:space="preserve">Ergebnis: </w:t>
      </w:r>
      <w:r>
        <w:t>37,9 % waren geimpft; älteres Alter, Zusammenleben mit Senioren und persönliche Nähe zu schweren COVID-19-Verläufen (Krankenhausaufenthalte/Todesfälle im Umfeld) waren unabhängige Prädiktoren; geschlechtsspezifische Unterschiede bei Ethnizität und Familienstand.</w:t>
      </w:r>
    </w:p>
    <w:p>
      <w:r>
        <w:rPr>
          <w:b/>
          <w:sz w:val="19"/>
        </w:rPr>
        <w:t xml:space="preserve">Übertragbarkeit: </w:t>
      </w:r>
      <w:r>
        <w:rPr>
          <w:sz w:val="19"/>
        </w:rPr>
        <w:t>Südafrika, hohes Einkommensgefälle; Befunde zu sozialen Determinanten und Pandemie-Proximität international relevant.</w:t>
      </w:r>
    </w:p>
    <w:p>
      <w:r>
        <w:rPr>
          <w:color w:val="5A7D3A"/>
          <w:sz w:val="18"/>
        </w:rPr>
        <w:t>https://pubmed.ncbi.nlm.nih.gov/42834877/</w:t>
      </w:r>
    </w:p>
    <w:p>
      <w:pPr>
        <w:pStyle w:val="Heading2"/>
      </w:pPr>
      <w:r>
        <w:t>HPV-Impfung bei Erwachsenen (27–45 Jahre) bleibt selten – USA</w:t>
      </w:r>
    </w:p>
    <w:p>
      <w:r>
        <w:rPr>
          <w:i/>
          <w:color w:val="666666"/>
          <w:sz w:val="18"/>
        </w:rPr>
        <w:t>Jiang R et al.  ·  Hum Vaccin Immunother  ·  05.10.2026  ·  PMID 42834027</w:t>
      </w:r>
    </w:p>
    <w:p>
      <w:r>
        <w:t>Nationale Querschnittserhebung zur HPV-Impfquote bei Erwachsenen vor und nach COVID-19 anhand von NHIS-Daten.</w:t>
      </w:r>
    </w:p>
    <w:p>
      <w:r>
        <w:rPr>
          <w:b/>
        </w:rPr>
        <w:t xml:space="preserve">Ergebnis: </w:t>
      </w:r>
      <w:r>
        <w:t>Quote stieg von 15,1 % (2019) auf 20,7 % (2022); nur 1,43 % initiierten Impfung zwischen 27 und 45 Jahren; Alter, männliches Geschlecht, niedrigere Bildung und fehlende regelmäßige Versorgungsstelle waren mit niedrigerer Quote assoziiert.</w:t>
      </w:r>
    </w:p>
    <w:p>
      <w:r>
        <w:rPr>
          <w:b/>
          <w:sz w:val="19"/>
        </w:rPr>
        <w:t xml:space="preserve">Übertragbarkeit: </w:t>
      </w:r>
      <w:r>
        <w:rPr>
          <w:sz w:val="19"/>
        </w:rPr>
        <w:t>USA; Befunde zu Barrieren bei Catch-up-Impfung Erwachsener, nicht zu Kindheit relevant.</w:t>
      </w:r>
    </w:p>
    <w:p>
      <w:r>
        <w:rPr>
          <w:color w:val="5A7D3A"/>
          <w:sz w:val="18"/>
        </w:rPr>
        <w:t>https://pubmed.ncbi.nlm.nih.gov/42834027/</w:t>
      </w:r>
    </w:p>
    <w:p>
      <w:pPr>
        <w:pStyle w:val="Heading2"/>
      </w:pPr>
      <w:r>
        <w:t>Schottische Impfquoten blieben in der Pandemie stabil – Ungleichheiten bestehen fort</w:t>
      </w:r>
    </w:p>
    <w:p>
      <w:r>
        <w:rPr>
          <w:i/>
          <w:color w:val="666666"/>
          <w:sz w:val="18"/>
        </w:rPr>
        <w:t>Smith CD et al.  ·  Public Health  ·  13.08.2026  ·  PMID 42594547</w:t>
      </w:r>
    </w:p>
    <w:p>
      <w:r>
        <w:t>Bevölkerungsbasierte Kohortenstudie zu Routineimpfungen bei Kleinkindern in Schottland vor und während COVID-19.</w:t>
      </w:r>
    </w:p>
    <w:p>
      <w:r>
        <w:rPr>
          <w:b/>
        </w:rPr>
        <w:t xml:space="preserve">Ergebnis: </w:t>
      </w:r>
      <w:r>
        <w:t>Impfquoten für fünf von sechs Vakzinen blieben stabil oder stiegen während der Pandemie; Unterschiede nach Deprivation und ethnischer Herkunft verschärften sich nicht, aber bestandene Ungleichheiten persistierten.</w:t>
      </w:r>
    </w:p>
    <w:p>
      <w:r>
        <w:rPr>
          <w:b/>
          <w:sz w:val="19"/>
        </w:rPr>
        <w:t xml:space="preserve">Übertragbarkeit: </w:t>
      </w:r>
      <w:r>
        <w:rPr>
          <w:sz w:val="19"/>
        </w:rPr>
        <w:t>Schottisches Impfregister, vergleichbares Sozialsystem mit Deutschland.</w:t>
      </w:r>
    </w:p>
    <w:p>
      <w:r>
        <w:rPr>
          <w:color w:val="5A7D3A"/>
          <w:sz w:val="18"/>
        </w:rPr>
        <w:t>https://pubmed.ncbi.nlm.nih.gov/42594547/</w:t>
      </w:r>
    </w:p>
    <w:p>
      <w:pPr>
        <w:pStyle w:val="Heading1"/>
      </w:pPr>
      <w:r>
        <w:t>Aufgenommen am 07.10.2026</w:t>
      </w:r>
    </w:p>
    <w:p>
      <w:pPr>
        <w:pStyle w:val="Heading2"/>
      </w:pPr>
      <w:r>
        <w:t>Impfquoten bei Zero-Dose-Kindern: digitale Mikro-Planung erreichte unterversorgte Gemeinden in Niger</w:t>
      </w:r>
    </w:p>
    <w:p>
      <w:r>
        <w:rPr>
          <w:i/>
          <w:color w:val="666666"/>
          <w:sz w:val="18"/>
        </w:rPr>
        <w:t>Jimoh A et al.  ·  BMJ Glob Health  ·  06.10.2026  ·  PMID 42838605</w:t>
      </w:r>
    </w:p>
    <w:p>
      <w:r>
        <w:t>Die STRICAN-Initiative kombinierte Haushaltserfassung, digitale Mikroplanung und gemeindegestützte Mobilisierung, um zuvor unerreichbare Kinder in 10 Bezirken des Niger-Staates zu identifizieren und zu impfen.</w:t>
      </w:r>
    </w:p>
    <w:p>
      <w:r>
        <w:rPr>
          <w:b/>
        </w:rPr>
        <w:t xml:space="preserve">Ergebnis: </w:t>
      </w:r>
      <w:r>
        <w:t>Das Modell zeigte, dass datengesteuerte Mikro-Planung mit vertrauenswürdigen Gemeinschaftsstrukturen funktioniert. Zentrale Erkenntnisse: flexible Lieferstrategien in fragilen Einstellungen, starke Partnerschaften zwischen Regierung und Umsetzungsakteuren sowie die Integration digitaler Tools mit bestehenden Gemeinschaftssystemen verbesserten Identifikation und Service-Bereitstellung für Zero-Dose-Populationen.</w:t>
      </w:r>
    </w:p>
    <w:p>
      <w:r>
        <w:rPr>
          <w:b/>
          <w:sz w:val="19"/>
        </w:rPr>
        <w:t xml:space="preserve">Übertragbarkeit: </w:t>
      </w:r>
      <w:r>
        <w:rPr>
          <w:sz w:val="19"/>
        </w:rPr>
        <w:t>Nigeria, aber Modell übertragbar auf ähnliche Kontexte mit schwachen Registersystemen und fragmentierten Bevölkerungen.</w:t>
      </w:r>
    </w:p>
    <w:p>
      <w:r>
        <w:rPr>
          <w:color w:val="5A7D3A"/>
          <w:sz w:val="18"/>
        </w:rPr>
        <w:t>https://pubmed.ncbi.nlm.nih.gov/42838605/</w:t>
      </w:r>
    </w:p>
    <w:p>
      <w:pPr>
        <w:pStyle w:val="Heading2"/>
      </w:pPr>
      <w:r>
        <w:t>COVID-19-Impfbereitschaft bei chinesischen Fachpersonen: 59,9% für zukünftige Auffrischungen trotz 97% Vorbeugeimpfung</w:t>
      </w:r>
    </w:p>
    <w:p>
      <w:r>
        <w:rPr>
          <w:i/>
          <w:color w:val="666666"/>
          <w:sz w:val="18"/>
        </w:rPr>
        <w:t>Mu Y et al.  ·  JMIR Public Health Surveill  ·  06.10.2026  ·  PMID 42837522</w:t>
      </w:r>
    </w:p>
    <w:p>
      <w:r>
        <w:t>Nationale Mehrzentrums-Querschnittsbefragung von 2.877 Ärzten und 292 Medizinstudierenden in China Februar–April 2023 zur Bereitschaft für künftige jährliche COVID-19-Impfungen.</w:t>
      </w:r>
    </w:p>
    <w:p>
      <w:r>
        <w:rPr>
          <w:b/>
        </w:rPr>
        <w:t xml:space="preserve">Ergebnis: </w:t>
      </w:r>
      <w:r>
        <w:t>Insgesamt 59,9% (n=1.899) willens, zukünftige jährliche COVID-19-Impfung zu erhalten; 97% hatten mind. 1 Dosis erhalten; 93,1% hatten inaktivierte Impfstoffe. 90,2% unterstützen Ältere-Impfung, 73,2% Kleinkinderimpfung. Mangelnde Influenzaimpfbereitschaft stark assoziiert mit COVID-19-Hesitanz (aPR 4,11, 95%-KI 3,71–4,55). Häufigste Bedenken: Impfwirksamkeit (53,1%), Sicherheit (33,4%), unzureichende Studiendatenoffenlegung (29%).</w:t>
      </w:r>
    </w:p>
    <w:p>
      <w:r>
        <w:rPr>
          <w:b/>
          <w:sz w:val="19"/>
        </w:rPr>
        <w:t xml:space="preserve">Übertragbarkeit: </w:t>
      </w:r>
      <w:r>
        <w:rPr>
          <w:sz w:val="19"/>
        </w:rPr>
        <w:t>China, aber Befunde zu Kommunikationsbedarf und Vertrauensaufbau bei Fachpersonen auf deutsches Vertrauen-in-Institutionen-Problem übertragbar.</w:t>
      </w:r>
    </w:p>
    <w:p>
      <w:r>
        <w:rPr>
          <w:color w:val="5A7D3A"/>
          <w:sz w:val="18"/>
        </w:rPr>
        <w:t>https://pubmed.ncbi.nlm.nih.gov/42837522/</w:t>
      </w:r>
    </w:p>
    <w:p>
      <w:pPr>
        <w:pStyle w:val="Heading2"/>
      </w:pPr>
      <w:r>
        <w:t>RSV-Impfung bei älteren Herzinsuffizienzpatienten: Sterblichkeit sinkt um 49%, ICU-Aufnahmen um 54%</w:t>
      </w:r>
    </w:p>
    <w:p>
      <w:r>
        <w:rPr>
          <w:i/>
          <w:color w:val="666666"/>
          <w:sz w:val="18"/>
        </w:rPr>
        <w:t>Khan A et al.  ·  Clin Cardiol  ·  Okt. 2026  ·  PMID 42836598</w:t>
      </w:r>
    </w:p>
    <w:p>
      <w:r>
        <w:t>Retrospektive Kohorte mit Propensity-Score-Matching verglich RSV-Geimpfte und Ungeimpfte ≥60 Jahre mit Herzinsuffizienz, n=777 pro Gruppe, Nachbeobachtung Mai 2023–Januar 2026.</w:t>
      </w:r>
    </w:p>
    <w:p>
      <w:r>
        <w:rPr>
          <w:b/>
        </w:rPr>
        <w:t xml:space="preserve">Ergebnis: </w:t>
      </w:r>
      <w:r>
        <w:t>Geimpfte hatten signifikant niedrigere Gesamtsterblichkeit (HR 0,51, 95%-KI 0,33–0,79) und weniger ICU-Aufnahmen (2,7% vs. 5,8%, HR 0,46, 95%-KI 0,25–0,86). Kein Unterschied bei Atemwegsversagen (7,3% vs. 9,4%), stationären/Notfallbesuchen oder HI-Verschärfung. Höhere Gesamt-Gesundheitsnutzung in Geimpften (HR 1,85, 95%-KI 1,65–2,08) – hypothesengenerierend für Vermeidung schwerer Atemwegserkrankung.</w:t>
      </w:r>
    </w:p>
    <w:p>
      <w:r>
        <w:rPr>
          <w:b/>
          <w:sz w:val="19"/>
        </w:rPr>
        <w:t xml:space="preserve">Übertragbarkeit: </w:t>
      </w:r>
      <w:r>
        <w:rPr>
          <w:sz w:val="19"/>
        </w:rPr>
        <w:t>USA-Daten (TriNetX), aber Sicherheitsbefund und Mortalitätsvorteil übertragbar.</w:t>
      </w:r>
    </w:p>
    <w:p>
      <w:r>
        <w:rPr>
          <w:color w:val="5A7D3A"/>
          <w:sz w:val="18"/>
        </w:rPr>
        <w:t>https://pubmed.ncbi.nlm.nih.gov/42836598/</w:t>
      </w:r>
    </w:p>
    <w:p>
      <w:pPr>
        <w:pStyle w:val="Heading2"/>
      </w:pPr>
      <w:r>
        <w:t>Impfungen in der Schwangerschaft: Griechische Studie identifiziert Barrieren und Angehörigenedukatoren</w:t>
      </w:r>
    </w:p>
    <w:p>
      <w:r>
        <w:rPr>
          <w:i/>
          <w:color w:val="666666"/>
          <w:sz w:val="18"/>
        </w:rPr>
        <w:t>Psarris A et al.  ·  J Pregnancy  ·  2026  ·  PMID 42836283</w:t>
      </w:r>
    </w:p>
    <w:p>
      <w:r>
        <w:t>Querschnittsstudie zur Impfbereitschaft bei 725 Wöchnerinnen in zwei Athener Kliniken mit Fokus auf COVID-19, Tdap, Influenza und RSV.</w:t>
      </w:r>
    </w:p>
    <w:p>
      <w:r>
        <w:rPr>
          <w:b/>
        </w:rPr>
        <w:t xml:space="preserve">Ergebnis: </w:t>
      </w:r>
      <w:r>
        <w:t>Insgesamt 51,2% erhielten mindestens eine Impfung in der Schwangerschaft: Tdap 42,5%, Influenza 19,6%, COVID-19 3,6%, RSV &lt;1%. Nur 14,62% erhielten mehrere Impfungen. Hauptbarrieren: mangelnde ärztliche Beratung (Site 1: 29,0%, Site 2: 18,6%), persönliche Wahl und Sicherheitsbedenken (Site 2 höher). Höhere Schulbildung und städtischer Wohnort waren unabhängig mit höherer Impfbereitschaft assoziiert.</w:t>
      </w:r>
    </w:p>
    <w:p>
      <w:r>
        <w:rPr>
          <w:b/>
          <w:sz w:val="19"/>
        </w:rPr>
        <w:t xml:space="preserve">Übertragbarkeit: </w:t>
      </w:r>
      <w:r>
        <w:rPr>
          <w:sz w:val="19"/>
        </w:rPr>
        <w:t>Griechenland – deutschsprachiger Raum, vergleichbare Sozialversicherung, aber Mutterschaftsimpfquoten deutlich unter deutschen Empfehlungen.</w:t>
      </w:r>
    </w:p>
    <w:p>
      <w:r>
        <w:rPr>
          <w:color w:val="5A7D3A"/>
          <w:sz w:val="18"/>
        </w:rPr>
        <w:t>https://pubmed.ncbi.nlm.nih.gov/42836283/</w:t>
      </w:r>
    </w:p>
    <w:p>
      <w:pPr>
        <w:pStyle w:val="Heading2"/>
      </w:pPr>
      <w:r>
        <w:t>Grippeimpfung bei Gesundheitsfachpersonen in China: Metaanalyse zeigt 27%-Quote und wirksame Interventionen</w:t>
      </w:r>
    </w:p>
    <w:p>
      <w:r>
        <w:rPr>
          <w:i/>
          <w:color w:val="666666"/>
          <w:sz w:val="18"/>
        </w:rPr>
        <w:t>Xiong L et al.  ·  Front Public Health  ·  21.09.2026  ·  PMID 42835288</w:t>
      </w:r>
    </w:p>
    <w:p>
      <w:r>
        <w:t>Systematische Übersicht mit Metaanalyse von 49 Querschnittsstudien mit 111.544 chinesischen Gesundheitsfachpersonen zur Influenzaimpfquote und beeinflussenden Faktoren.</w:t>
      </w:r>
    </w:p>
    <w:p>
      <w:r>
        <w:rPr>
          <w:b/>
        </w:rPr>
        <w:t xml:space="preserve">Ergebnis: </w:t>
      </w:r>
      <w:r>
        <w:t>Gesamtimpfquote 27% (95%-KI 21–34%). Positiv assoziiert: Alter 40–49 Jahre, weiblich, Einkommen &gt;3.000 RMB, beruflicher Titel, frühere Impfhistorie, institutionelle Ermutigung/Verpflichtung, kostenlose Impfung, Kenntnis des optimalen Zeitpunkts, Impfbereitschaft. Strukturelle Interventionen (kostenlos, Ermutigung, Vor-Ort-Dienste) plus zielgerichtete Strategien für jüngere, männliche, einkommensschwache und impfnaive Personen empfohlen.</w:t>
      </w:r>
    </w:p>
    <w:p>
      <w:r>
        <w:rPr>
          <w:b/>
          <w:sz w:val="19"/>
        </w:rPr>
        <w:t xml:space="preserve">Übertragbarkeit: </w:t>
      </w:r>
      <w:r>
        <w:rPr>
          <w:sz w:val="19"/>
        </w:rPr>
        <w:t>China – Bevölkerungsdaten, aber Erkenntnisse zu Anreizstrukturen und Zugangsbarrieren auf deutsche HCW-Programme übertragbar.</w:t>
      </w:r>
    </w:p>
    <w:p>
      <w:r>
        <w:rPr>
          <w:color w:val="5A7D3A"/>
          <w:sz w:val="18"/>
        </w:rPr>
        <w:t>https://pubmed.ncbi.nlm.nih.gov/42835288/</w:t>
      </w:r>
    </w:p>
    <w:p>
      <w:pPr>
        <w:pStyle w:val="Heading2"/>
      </w:pPr>
      <w:r>
        <w:t>PCV21 versus PCV20 in Deutschland: Pneumokokkenimpfung zeigt Kosteneinsparungen</w:t>
      </w:r>
    </w:p>
    <w:p>
      <w:r>
        <w:rPr>
          <w:i/>
          <w:color w:val="666666"/>
          <w:sz w:val="18"/>
        </w:rPr>
        <w:t>Simuzingili M et al.  ·  Expert Rev Vaccines  ·  05.10.2026  ·  PMID 42834615</w:t>
      </w:r>
    </w:p>
    <w:p>
      <w:r>
        <w:t>Kosten-Effektivitätsanalyse mit angepasstem Markov-Modell verglich PCV21 und PCV20 bei ungeimpften Erwachsenen ≥60 Jahren in Deutschland.</w:t>
      </w:r>
    </w:p>
    <w:p>
      <w:r>
        <w:rPr>
          <w:b/>
        </w:rPr>
        <w:t xml:space="preserve">Ergebnis: </w:t>
      </w:r>
      <w:r>
        <w:t>PCV21 reduzierte gegenüber PCV20 Krankheitsfälle, Todesfälle und direkte Kosten. Aus Kostenträger- und Gesellschaftsperspektive war PCV21 kosteneinsparend. In Sensitivitätsanalysen blieb PCV21 kostenrettend über alle Parametervariationen. PCV21 wurde dominiert nur bei Reduktion des Unterschieds in der NBPP-Erkrankungsabdeckung auf 0,5%.</w:t>
      </w:r>
    </w:p>
    <w:p>
      <w:r>
        <w:rPr>
          <w:b/>
          <w:sz w:val="19"/>
        </w:rPr>
        <w:t xml:space="preserve">Übertragbarkeit: </w:t>
      </w:r>
      <w:r>
        <w:rPr>
          <w:sz w:val="19"/>
        </w:rPr>
        <w:t>Deutschland – Modell auf deutschen Kostendaten, deutsches Gesundheitssystem und Impfkalender.</w:t>
      </w:r>
    </w:p>
    <w:p>
      <w:r>
        <w:rPr>
          <w:color w:val="5A7D3A"/>
          <w:sz w:val="18"/>
        </w:rPr>
        <w:t>https://pubmed.ncbi.nlm.nih.gov/42834615/</w:t>
      </w:r>
    </w:p>
    <w:p>
      <w:pPr>
        <w:pStyle w:val="Heading1"/>
      </w:pPr>
      <w:r>
        <w:t>Aufgenommen am 06.10.2026</w:t>
      </w:r>
    </w:p>
    <w:p>
      <w:pPr>
        <w:pStyle w:val="Heading2"/>
      </w:pPr>
      <w:r>
        <w:t>Massenimpfkampagne gegen Tollwut: 70-Prozent-Abdeckung in Ghana erreicht</w:t>
      </w:r>
    </w:p>
    <w:p>
      <w:r>
        <w:rPr>
          <w:i/>
          <w:color w:val="666666"/>
          <w:sz w:val="18"/>
        </w:rPr>
        <w:t>Dwaah PK et al.  ·  PLoS Negl Trop Dis  ·  05.10.2026  ·  PMID 42832606</w:t>
      </w:r>
    </w:p>
    <w:p>
      <w:r>
        <w:t>Evaluationen einer Eintagskampagne zur Hundeimpfung gegen Tollwut im September 2024 in Techiman Metropolis, Ghana, mit gemischten Methoden.</w:t>
      </w:r>
    </w:p>
    <w:p>
      <w:r>
        <w:rPr>
          <w:b/>
        </w:rPr>
        <w:t xml:space="preserve">Ergebnis: </w:t>
      </w:r>
      <w:r>
        <w:t>Administrative Abdeckung: ca. 70 % (5.600 Hunde), basierend auf Bevölkerungsschätzungen. Bewusstsein für Tollwut (tödlich) stieg von 45 % auf 75 %, für Prävention von 40 % auf 70 %. Barrieren: Impfstoffversorgungsverzögerungen, unzureichende Kühlkette, limitierter Zugang für periurbane Gebiete, keine Strategien für freilebende Hunde.</w:t>
      </w:r>
    </w:p>
    <w:p>
      <w:r>
        <w:rPr>
          <w:b/>
          <w:sz w:val="19"/>
        </w:rPr>
        <w:t xml:space="preserve">Übertragbarkeit: </w:t>
      </w:r>
      <w:r>
        <w:rPr>
          <w:sz w:val="19"/>
        </w:rPr>
        <w:t>Sub-Sahara-Afrika-Kontext; Erkenntnisse zu Logistik, Mehrsektor-Koordination und Monitoring übertragbar auf Impfkampagnen in Ländern mit begrenzter Infrastruktur.</w:t>
      </w:r>
    </w:p>
    <w:p>
      <w:r>
        <w:rPr>
          <w:color w:val="5A7D3A"/>
          <w:sz w:val="18"/>
        </w:rPr>
        <w:t>https://pubmed.ncbi.nlm.nih.gov/42832606/</w:t>
      </w:r>
    </w:p>
    <w:p>
      <w:pPr>
        <w:pStyle w:val="Heading2"/>
      </w:pPr>
      <w:r>
        <w:t>Impfkoordinator*innen: Erinnerungssysteme und flexible Termine erhöhen HPV-Quoten</w:t>
      </w:r>
    </w:p>
    <w:p>
      <w:r>
        <w:rPr>
          <w:i/>
          <w:color w:val="666666"/>
          <w:sz w:val="18"/>
        </w:rPr>
        <w:t>Khatri RA et al.  ·  Hum Vaccin Immunother  ·  05.10.2026  ·  PMID 42832184</w:t>
      </w:r>
    </w:p>
    <w:p>
      <w:r>
        <w:t>Qualitative Studie mit 24 Impfverantwortlichen aus Gesundheitsämtern in Indiana zu Barrieren und Förderern für HPV-Impfquoten bei Jugendlichen.</w:t>
      </w:r>
    </w:p>
    <w:p>
      <w:r>
        <w:rPr>
          <w:b/>
        </w:rPr>
        <w:t xml:space="preserve">Ergebnis: </w:t>
      </w:r>
      <w:r>
        <w:t>Hauptbarrieren für Abschluss der Serie: fehlende Information und Zeitmangel bei Eltern und Jugendlichen. Hauptförderung: automatische Erinnerungssysteme (Terminerinnerungen) und flexible Impfzeiten. Schulpolitik (HPV nicht Pflichtimpfung) wirkte als strukturelle Barriere.</w:t>
      </w:r>
    </w:p>
    <w:p>
      <w:r>
        <w:rPr>
          <w:b/>
          <w:sz w:val="19"/>
        </w:rPr>
        <w:t xml:space="preserve">Übertragbarkeit: </w:t>
      </w:r>
      <w:r>
        <w:rPr>
          <w:sz w:val="19"/>
        </w:rPr>
        <w:t>USA-Studie, aber Erkenntnisse zu Terminmanagement und Erinnerungswesen sind auf deutsches System mit QM-Anforderungen übertragbar.</w:t>
      </w:r>
    </w:p>
    <w:p>
      <w:r>
        <w:rPr>
          <w:color w:val="5A7D3A"/>
          <w:sz w:val="18"/>
        </w:rPr>
        <w:t>https://pubmed.ncbi.nlm.nih.gov/42832184/</w:t>
      </w:r>
    </w:p>
    <w:p>
      <w:pPr>
        <w:pStyle w:val="Heading2"/>
      </w:pPr>
      <w:r>
        <w:t>Hepatitis-B-Impfung in Kyrgyzstan: 3-%-Quote bei Erwachsenen, Barrieren identifiziert</w:t>
      </w:r>
    </w:p>
    <w:p>
      <w:r>
        <w:rPr>
          <w:i/>
          <w:color w:val="666666"/>
          <w:sz w:val="18"/>
        </w:rPr>
        <w:t>Zholdoshev S et al.  ·  Prague Med Rep  ·  2026  ·  PMID 42831606</w:t>
      </w:r>
    </w:p>
    <w:p>
      <w:r>
        <w:t>Screening-Studie in Jalal-Abad (Kirgisistan) zur Hepatitis-B-Impfquote Erwachsener und Barrieren für Immunisierungsprogramme.</w:t>
      </w:r>
    </w:p>
    <w:p>
      <w:r>
        <w:rPr>
          <w:b/>
        </w:rPr>
        <w:t xml:space="preserve">Ergebnis: </w:t>
      </w:r>
      <w:r>
        <w:t>Impfquote nur 3 % (Screening von 2.126 von 71.307 Erwachsenen); HBsAg-Prävalenz 3,3 %. Nach Kampagne 2.483 Personen geimpft, überwiegend Frauen (68,1 %) und Altersgruppe 50–59 Jahre. Barrieren: begrenzte Gesundheitsversorgung, mangelndes Bewusstsein, logistische Hürden. Interventionen: mobile Impfteams, integrierte öffentliche Dienste, kulturangepasste Kampagnen.</w:t>
      </w:r>
    </w:p>
    <w:p>
      <w:r>
        <w:rPr>
          <w:b/>
          <w:sz w:val="19"/>
        </w:rPr>
        <w:t xml:space="preserve">Übertragbarkeit: </w:t>
      </w:r>
      <w:r>
        <w:rPr>
          <w:sz w:val="19"/>
        </w:rPr>
        <w:t>Zentralasien, begrenzte Ressourcen; Erkenntnisse zu Zugangsbarrieren und Geschlechterdisparitäten zeigen Ungleichheitsaspekte.</w:t>
      </w:r>
    </w:p>
    <w:p>
      <w:r>
        <w:rPr>
          <w:color w:val="5A7D3A"/>
          <w:sz w:val="18"/>
        </w:rPr>
        <w:t>https://pubmed.ncbi.nlm.nih.gov/42831606/</w:t>
      </w:r>
    </w:p>
    <w:p>
      <w:pPr>
        <w:pStyle w:val="Heading2"/>
      </w:pPr>
      <w:r>
        <w:t>Grippeimpfung bei Kindern: individuelle statt routinemäßige Entscheidung empfohlen</w:t>
      </w:r>
    </w:p>
    <w:p>
      <w:r>
        <w:rPr>
          <w:i/>
          <w:color w:val="666666"/>
          <w:sz w:val="18"/>
        </w:rPr>
        <w:t>Beneš J  ·  Cas Lek Cesk  ·  2026  ·  PMID 42829827</w:t>
      </w:r>
    </w:p>
    <w:p>
      <w:r>
        <w:t>Narrative Übersichtsarbeit zur Influenzaimpfung bei Kindern mit Analyse von Evidenz zu Effektivität und Indikationen.</w:t>
      </w:r>
    </w:p>
    <w:p>
      <w:r>
        <w:rPr>
          <w:b/>
        </w:rPr>
        <w:t xml:space="preserve">Ergebnis: </w:t>
      </w:r>
      <w:r>
        <w:t>Grippeimpfung reduziert Häufigkeit und Schweregrad, aber Effektivität variiert je nach Situation. Meta-analysen zeigen unzureichende Evidenz für routinemäßige Impfung gesunder Kinder. Impfung sinnvoll bei schweren Immundefekten oder Komorbiditäten. Routine-Schuleingangsimpfung bleibt umstritten.</w:t>
      </w:r>
    </w:p>
    <w:p>
      <w:r>
        <w:rPr>
          <w:b/>
          <w:sz w:val="19"/>
        </w:rPr>
        <w:t xml:space="preserve">Übertragbarkeit: </w:t>
      </w:r>
      <w:r>
        <w:rPr>
          <w:sz w:val="19"/>
        </w:rPr>
        <w:t>Tschechien, vergleichbare europäische Impfkalender-Diskussionen; Befund zur fehlenden Routine-Evidenz bei Gesunden relevant für deutsches STIKO-Abwägen.</w:t>
      </w:r>
    </w:p>
    <w:p>
      <w:r>
        <w:rPr>
          <w:color w:val="5A7D3A"/>
          <w:sz w:val="18"/>
        </w:rPr>
        <w:t>https://pubmed.ncbi.nlm.nih.gov/42829827/</w:t>
      </w:r>
    </w:p>
    <w:p>
      <w:pPr>
        <w:pStyle w:val="Heading2"/>
      </w:pPr>
      <w:r>
        <w:t>Intranasale Interferon-α lenkt Impf-T-Zellen in obere Atemwege</w:t>
      </w:r>
    </w:p>
    <w:p>
      <w:r>
        <w:rPr>
          <w:i/>
          <w:color w:val="666666"/>
          <w:sz w:val="18"/>
        </w:rPr>
        <w:t>Fraser R et al.  ·  Front Immunol  ·  18.09.2026  ·  PMID 42827561</w:t>
      </w:r>
    </w:p>
    <w:p>
      <w:r>
        <w:t>Experimentelle Studie mit SARS-CoV-2-Vakzination als Testfall: intranasales exogenes IFN-α als Adjuvans zu systemischer Impfung.</w:t>
      </w:r>
    </w:p>
    <w:p>
      <w:r>
        <w:rPr>
          <w:b/>
        </w:rPr>
        <w:t xml:space="preserve">Ergebnis: </w:t>
      </w:r>
      <w:r>
        <w:t>Intranasale Gabe von IFN-α (ohne intranasales Antigen) lenkt impfspezifische T-Zell-Reaktionen in die oberen Atemwege, ohne auf intranasale Antigen-Delivery angewiesen zu sein. Neuartiger Weg, um lokale Immunität an Infektionsort zu generieren und Transmission zu unterbrechen.</w:t>
      </w:r>
    </w:p>
    <w:p>
      <w:r>
        <w:rPr>
          <w:b/>
          <w:sz w:val="19"/>
        </w:rPr>
        <w:t xml:space="preserve">Übertragbarkeit: </w:t>
      </w:r>
      <w:r>
        <w:rPr>
          <w:sz w:val="19"/>
        </w:rPr>
        <w:t>UK-Studie, Konzept-proof; übertragbar auf respiratorische Impfprogramme für Influenza, RSV, andere Atemwegsinfekte mit lokalem Fokus.</w:t>
      </w:r>
    </w:p>
    <w:p>
      <w:r>
        <w:rPr>
          <w:color w:val="5A7D3A"/>
          <w:sz w:val="18"/>
        </w:rPr>
        <w:t>https://pubmed.ncbi.nlm.nih.gov/42827561/</w:t>
      </w:r>
    </w:p>
    <w:p>
      <w:pPr>
        <w:pStyle w:val="Heading2"/>
      </w:pPr>
      <w:r>
        <w:t>NK-Zell-Therapien: Europa betont klinische Translation und Sicherheit</w:t>
      </w:r>
    </w:p>
    <w:p>
      <w:r>
        <w:rPr>
          <w:i/>
          <w:color w:val="666666"/>
          <w:sz w:val="18"/>
        </w:rPr>
        <w:t>Knapp LR et al.  ·  Hum Gene Ther  ·  03.08.2026  ·  PMID 42544553</w:t>
      </w:r>
    </w:p>
    <w:p>
      <w:r>
        <w:t>Opinion Paper aus Europäischer Perspektive zur klinischen Translation von Natural-Killer-Zell-Therapien, Ergebnisse eines Workshops März 2026 in Deutschland.</w:t>
      </w:r>
    </w:p>
    <w:p>
      <w:r>
        <w:rPr>
          <w:b/>
        </w:rPr>
        <w:t xml:space="preserve">Ergebnis: </w:t>
      </w:r>
      <w:r>
        <w:t>Sieben CAR-T-Produkte in Europa zugelassen für B-Zell-Malignome. NK-Zellen und γδ T-Zellen zeigen starke intrinsische Zytotoxizität und günstiges Sicherheitsprofil, aber Implementierungshürden bleiben: Manufacturing-Constraints, Kostenbarrieren, begrenzte klinische Daten. Empfehlung: koordinierte internationale Arbeit zu Validierung und Regulatory Harmonisierung.</w:t>
      </w:r>
    </w:p>
    <w:p>
      <w:r>
        <w:rPr>
          <w:b/>
          <w:sz w:val="19"/>
        </w:rPr>
        <w:t xml:space="preserve">Übertragbarkeit: </w:t>
      </w:r>
      <w:r>
        <w:rPr>
          <w:sz w:val="19"/>
        </w:rPr>
        <w:t>Deutsche und europäische Kliniken, vergleichbare Regulierung; direkt anwendbar auf Implementierungsplanung.</w:t>
      </w:r>
    </w:p>
    <w:p>
      <w:r>
        <w:rPr>
          <w:color w:val="5A7D3A"/>
          <w:sz w:val="18"/>
        </w:rPr>
        <w:t>https://pubmed.ncbi.nlm.nih.gov/42544553/</w:t>
      </w:r>
    </w:p>
    <w:p>
      <w:pPr>
        <w:pStyle w:val="Heading1"/>
      </w:pPr>
      <w:r>
        <w:t>Aufgenommen am 05.10.2026</w:t>
      </w:r>
    </w:p>
    <w:p>
      <w:pPr>
        <w:pStyle w:val="Heading2"/>
      </w:pPr>
      <w:r>
        <w:t>Torque-Teno-Virus-Viruslast verbessert Vorhersage der SARS-CoV-2-Serokonversion bei Nierentransplantation</w:t>
      </w:r>
    </w:p>
    <w:p>
      <w:r>
        <w:rPr>
          <w:i/>
          <w:color w:val="666666"/>
          <w:sz w:val="18"/>
        </w:rPr>
        <w:t>Hermida E et al.  ·  Clin Transplant  ·  Okt. 2026  ·  PMID 42829947</w:t>
      </w:r>
    </w:p>
    <w:p>
      <w:r>
        <w:t>Prospektive Kohortenstudie in argentinischen Nierentransplantierten (KTPs) zur Vorhersage der Serokonversion nach COVID-19-Impfung mittels TTV-Viruslast und klinischer Variablen.</w:t>
      </w:r>
    </w:p>
    <w:p>
      <w:r>
        <w:rPr>
          <w:b/>
        </w:rPr>
        <w:t xml:space="preserve">Ergebnis: </w:t>
      </w:r>
      <w:r>
        <w:t>Serokonversionsraten: 16,9% nach vollständiger Impfung, 21,9% nach einer Auffrischung, 55,5% nach zwei Auffrischungen. TTV-Viruslast allein zeigte bescheidene Vorhersagekraft (AUC 0,634). Ein erweitertes Modell mit TTV + klinischen/Impfvariablen verbesserte die Vorhersage erheblich (AUC 0,814) mit NPV 90,0%. Multifaktorielle Ansätze können Impfstrategien bei immungeschwächten Patienten optimieren.</w:t>
      </w:r>
    </w:p>
    <w:p>
      <w:r>
        <w:rPr>
          <w:b/>
          <w:sz w:val="19"/>
        </w:rPr>
        <w:t xml:space="preserve">Übertragbarkeit: </w:t>
      </w:r>
      <w:r>
        <w:rPr>
          <w:sz w:val="19"/>
        </w:rPr>
        <w:t>Argentinien, Transplantationsmedizin, Modellansatz auf deutsche Zentren übertragbar</w:t>
      </w:r>
    </w:p>
    <w:p>
      <w:r>
        <w:rPr>
          <w:color w:val="5A7D3A"/>
          <w:sz w:val="18"/>
        </w:rPr>
        <w:t>https://pubmed.ncbi.nlm.nih.gov/42829947/</w:t>
      </w:r>
    </w:p>
    <w:p>
      <w:pPr>
        <w:pStyle w:val="Heading2"/>
      </w:pPr>
      <w:r>
        <w:t>WHO-Fragebogen zu Verhaltensfaktoren bei Grippeimpfung validiert in Australien</w:t>
      </w:r>
    </w:p>
    <w:p>
      <w:r>
        <w:rPr>
          <w:i/>
          <w:color w:val="666666"/>
          <w:sz w:val="18"/>
        </w:rPr>
        <w:t>Sabahelzain MM et al.  ·  Hum Vaccin Immunother  ·  04.10.2026  ·  PMID 42829802</w:t>
      </w:r>
    </w:p>
    <w:p>
      <w:r>
        <w:t>Validierungsstudie des WHO-BeSD-Fragebogens zu sozialen und verhaltensbezogenen Treibern der Grippeimpfung in Australien mit kognitiven Interviews und psychometrischer Analyse.</w:t>
      </w:r>
    </w:p>
    <w:p>
      <w:r>
        <w:rPr>
          <w:b/>
        </w:rPr>
        <w:t xml:space="preserve">Ergebnis: </w:t>
      </w:r>
      <w:r>
        <w:t>Nach kognitiven Interviews mit 16 Erwachsenen wurden 9 von 31 Items überarbeitet. Psychometrische Auswertung von 2055 Respondenten identifizierte 5 Faktoren (Denken/Fühlen, soziale Prozesse, Motivation, praktische Fragen). Jedes Item korrelierte mit Impfintention, besonders Items zu wahrgenommener Impfwichtigkeit und sozialer Verantwortung. Fragebogen validiert, weitere Tests in verschiedenen Kontexten empfohlen.</w:t>
      </w:r>
    </w:p>
    <w:p>
      <w:r>
        <w:rPr>
          <w:b/>
          <w:sz w:val="19"/>
        </w:rPr>
        <w:t xml:space="preserve">Übertragbarkeit: </w:t>
      </w:r>
      <w:r>
        <w:rPr>
          <w:sz w:val="19"/>
        </w:rPr>
        <w:t>Australien, ähnlicher Versorgungskontext, Fragebogen-Tool transferierbar</w:t>
      </w:r>
    </w:p>
    <w:p>
      <w:r>
        <w:rPr>
          <w:color w:val="5A7D3A"/>
          <w:sz w:val="18"/>
        </w:rPr>
        <w:t>https://pubmed.ncbi.nlm.nih.gov/42829802/</w:t>
      </w:r>
    </w:p>
    <w:p>
      <w:pPr>
        <w:pStyle w:val="Heading2"/>
      </w:pPr>
      <w:r>
        <w:t>Türkische Eltern in den USA berichten Barrieren in der Impfaufklärung und Vertrauenslücken</w:t>
      </w:r>
    </w:p>
    <w:p>
      <w:r>
        <w:rPr>
          <w:i/>
          <w:color w:val="666666"/>
          <w:sz w:val="18"/>
        </w:rPr>
        <w:t>Çelik E et al.  ·  Front Public Health  ·  18.09.2026  ·  PMID 42827996</w:t>
      </w:r>
    </w:p>
    <w:p>
      <w:r>
        <w:t>Qualitative Interviewstudie mit 13 türkischen Migranteneltern in den USA zur Aufklärung und informed consent für Kinderimpfungen bei verpflichtender Schuleinschulung.</w:t>
      </w:r>
    </w:p>
    <w:p>
      <w:r>
        <w:rPr>
          <w:b/>
        </w:rPr>
        <w:t xml:space="preserve">Ergebnis: </w:t>
      </w:r>
      <w:r>
        <w:t>Vier Hauptthemen: (1) technische Sprache und Verständnisschwierigkeiten; (2) fehlende ethische Kompetenz in der klinischen Kommunikation; (3) Impfmandate verschieben Aufklärung zu bloßer Compliance; (4) Eltern suchen eigenständig religiöse und Zutat-Informationen, da klinische Beratung diese nicht abdeckt. Formale religiöse Leitlinien in USA wenig bekannt, anders als in muslimischen Ländern mit koordinierter Anleitung.</w:t>
      </w:r>
    </w:p>
    <w:p>
      <w:r>
        <w:rPr>
          <w:b/>
          <w:sz w:val="19"/>
        </w:rPr>
        <w:t xml:space="preserve">Übertragbarkeit: </w:t>
      </w:r>
      <w:r>
        <w:rPr>
          <w:sz w:val="19"/>
        </w:rPr>
        <w:t>USA-Kontext, aber Befunde zu Informationsgap und Sprachbarrieren für Deutschland relevant</w:t>
      </w:r>
    </w:p>
    <w:p>
      <w:r>
        <w:rPr>
          <w:color w:val="5A7D3A"/>
          <w:sz w:val="18"/>
        </w:rPr>
        <w:t>https://pubmed.ncbi.nlm.nih.gov/42827996/</w:t>
      </w:r>
    </w:p>
    <w:p>
      <w:pPr>
        <w:pStyle w:val="Heading2"/>
      </w:pPr>
      <w:r>
        <w:t>Impfquoten und Impfeinstellungen unterscheiden sich stark zwischen Stadt und Land in Polen</w:t>
      </w:r>
    </w:p>
    <w:p>
      <w:r>
        <w:rPr>
          <w:i/>
          <w:color w:val="666666"/>
          <w:sz w:val="18"/>
        </w:rPr>
        <w:t>Stefanicka-Wojtas D et al.  ·  Front Public Health  ·  18.09.2026  ·  PMID 42827868</w:t>
      </w:r>
    </w:p>
    <w:p>
      <w:r>
        <w:t>Querschnittsstudie in drei polnischen Hausarztpraxen (Großstadt, Kleinstadt, ländlich) zur Impfbereitschaft, selbstberichteten Nebenwirkungen und Determinanten der Grippeimpfung.</w:t>
      </w:r>
    </w:p>
    <w:p>
      <w:r>
        <w:rPr>
          <w:b/>
        </w:rPr>
        <w:t xml:space="preserve">Ergebnis: </w:t>
      </w:r>
      <w:r>
        <w:t>Impfquoten unterschieden sich deutlich nach Wohnort (p&lt;0,001): 100% im ländlichen Zentrum vs. 73–76% in städtischen Zentren. Selbstberichtete Nebenwirkungen waren selten auf dem Land (7,1%), am häufigsten in der Großstadt (20,0%, p&lt;0,001). In adjustierten Modellen: frühere Infektionserfahrung und respiratorische Komorbiditäten hingen mit höheren Odds für Grippe- (OR 11,0; 3,9) und COVID-19-Impfung (OR 3,6; 2,8) zusammen. Dies zeigt, dass Vertrauen in Gesundheitssystem und Informationsverfügbarkeit stark variieren und lokale Kommunikationsstrategien nötig sind.</w:t>
      </w:r>
    </w:p>
    <w:p>
      <w:r>
        <w:rPr>
          <w:b/>
          <w:sz w:val="19"/>
        </w:rPr>
        <w:t xml:space="preserve">Übertragbarkeit: </w:t>
      </w:r>
      <w:r>
        <w:rPr>
          <w:sz w:val="19"/>
        </w:rPr>
        <w:t>Polen, europäisches Primärversorgungssystem, direkt vergleichbar mit Deutschland</w:t>
      </w:r>
    </w:p>
    <w:p>
      <w:r>
        <w:rPr>
          <w:color w:val="5A7D3A"/>
          <w:sz w:val="18"/>
        </w:rPr>
        <w:t>https://pubmed.ncbi.nlm.nih.gov/42827868/</w:t>
      </w:r>
    </w:p>
    <w:p>
      <w:pPr>
        <w:pStyle w:val="Heading2"/>
      </w:pPr>
      <w:r>
        <w:t>Mütterliche RSV-Impfung schützt Säuglinge vor schweren Atemwegsinfektionen – Metaanalyse</w:t>
      </w:r>
    </w:p>
    <w:p>
      <w:r>
        <w:rPr>
          <w:i/>
          <w:color w:val="666666"/>
          <w:sz w:val="18"/>
        </w:rPr>
        <w:t>Kucukbas Ozonder GN et al.  ·  Front Public Health  ·  18.09.2026  ·  PMID 42827513</w:t>
      </w:r>
    </w:p>
    <w:p>
      <w:r>
        <w:t>Systematische Übersicht und Metaanalyse von 24 Studien (9 RCTs, 15 Beobachtungsstudien) zur Wirksamkeit maternaler RSV-Impfung gegen Säuglings-Bronchiolitis.</w:t>
      </w:r>
    </w:p>
    <w:p>
      <w:r>
        <w:rPr>
          <w:b/>
        </w:rPr>
        <w:t xml:space="preserve">Ergebnis: </w:t>
      </w:r>
      <w:r>
        <w:t>Gepoolte Impfeffektivität gegen RSV-assoziierte Krankenhauseinweisung 79,7% (95% KI 73,9–84,2) in den ersten 3 Monaten, 68,1% (57,1–76,3) bis 6 Monate. Randomisierte Effizienz gegen schwere RSV-LRTI 70%, gegen ärztlich behandelte RSV-LRTI 51,5% (36,3–63,1). Preterm-Geburten modest erhöht in RCTs (RR 1,17), aber Signal nicht robust. Evidenzsicherheit moderat.</w:t>
      </w:r>
    </w:p>
    <w:p>
      <w:r>
        <w:rPr>
          <w:b/>
          <w:sz w:val="19"/>
        </w:rPr>
        <w:t xml:space="preserve">Übertragbarkeit: </w:t>
      </w:r>
      <w:r>
        <w:rPr>
          <w:sz w:val="19"/>
        </w:rPr>
        <w:t>Randomisierte und reale Daten zeigen Übereinstimmung, international übertragbar</w:t>
      </w:r>
    </w:p>
    <w:p>
      <w:r>
        <w:rPr>
          <w:color w:val="5A7D3A"/>
          <w:sz w:val="18"/>
        </w:rPr>
        <w:t>https://pubmed.ncbi.nlm.nih.gov/42827513/</w:t>
      </w:r>
    </w:p>
    <w:p>
      <w:pPr>
        <w:pStyle w:val="Heading2"/>
      </w:pPr>
      <w:r>
        <w:t>Psychologische Faktoren bei Impfskepsis: Neuer Fragebogen zur Messung (PF-HBQ)</w:t>
      </w:r>
    </w:p>
    <w:p>
      <w:r>
        <w:rPr>
          <w:i/>
          <w:color w:val="666666"/>
          <w:sz w:val="18"/>
        </w:rPr>
        <w:t>De Biase R et al.  ·  Front Public Health  ·  18.09.2026  ·  PMID 42827459</w:t>
      </w:r>
    </w:p>
    <w:p>
      <w:r>
        <w:t>Psychometrische Entwicklung und Validierung des Psychological Factors in Healthcare Behavior Questionnaire (PF-HBQ) zur Erfassung psychologischer Einflussfaktoren auf Impfentscheidungen.</w:t>
      </w:r>
    </w:p>
    <w:p>
      <w:r>
        <w:rPr>
          <w:b/>
        </w:rPr>
        <w:t xml:space="preserve">Ergebnis: </w:t>
      </w:r>
      <w:r>
        <w:t>Zwei Studien: Study 1 (N=472) bestätigte 9 psychologische Faktoren (Misstrauen, Distress, Extraversion, Offenheit, Prokrastination, depressive Symptome, posttraumatische Symptome, zwanghafte Züge, emotionale Stabilität) mit guter Reliabilität. Study 2 (N=192) zeigte signifikante Unterschiede zwischen Impfskeptikern und Nicht-Skeptikern. PF-HBQ ist zuverlässiges Werkzeug zur Charakterisierung psychologischer Profile bei Impfentscheidungen.</w:t>
      </w:r>
    </w:p>
    <w:p>
      <w:r>
        <w:rPr>
          <w:b/>
          <w:sz w:val="19"/>
        </w:rPr>
        <w:t xml:space="preserve">Übertragbarkeit: </w:t>
      </w:r>
      <w:r>
        <w:rPr>
          <w:sz w:val="19"/>
        </w:rPr>
        <w:t>Italien, psychometrisches Instrument, kulturübergreifend adaptierbar</w:t>
      </w:r>
    </w:p>
    <w:p>
      <w:r>
        <w:rPr>
          <w:color w:val="5A7D3A"/>
          <w:sz w:val="18"/>
        </w:rPr>
        <w:t>https://pubmed.ncbi.nlm.nih.gov/42827459/</w:t>
      </w:r>
    </w:p>
    <w:p>
      <w:pPr>
        <w:pStyle w:val="Heading1"/>
      </w:pPr>
      <w:r>
        <w:t>Aufgenommen am 04.10.2026</w:t>
      </w:r>
    </w:p>
    <w:p>
      <w:pPr>
        <w:pStyle w:val="Heading2"/>
      </w:pPr>
      <w:r>
        <w:t>Impfverantwortung in Familie und System: Wie russische Mütter Impfentscheidungen treffen</w:t>
      </w:r>
    </w:p>
    <w:p>
      <w:r>
        <w:rPr>
          <w:i/>
          <w:color w:val="666666"/>
          <w:sz w:val="18"/>
        </w:rPr>
        <w:t>Borozdina E  ·  Sociol Health Illn  ·  Nov. 2026  ·  PMID 42823783</w:t>
      </w:r>
    </w:p>
    <w:p>
      <w:r>
        <w:t>Qualitative Interviews mit impfskeptischen russischen Müttern zeigten, dass Impfentscheidungen nicht individuell getroffen werden, sondern eingebettet sind in Familiennetzwerke und durch unzureichende institutionelle Unterstützung bei hoher Eigenverantwortung geprägt sind.</w:t>
      </w:r>
    </w:p>
    <w:p>
      <w:r>
        <w:rPr>
          <w:b/>
        </w:rPr>
        <w:t xml:space="preserve">Ergebnis: </w:t>
      </w:r>
      <w:r>
        <w:t>Impfskepsis entsteht nicht primär aus individualistischer Haltung, sondern aus dem Misstrauen gegenüber Institutionen, die Eigenverantwortung verlangen ohne sie zu unterstützen; familiäre Netzwerke sind zentral für Entscheidungsfindung.</w:t>
      </w:r>
    </w:p>
    <w:p>
      <w:r>
        <w:rPr>
          <w:b/>
          <w:sz w:val="19"/>
        </w:rPr>
        <w:t xml:space="preserve">Übertragbarkeit: </w:t>
      </w:r>
      <w:r>
        <w:rPr>
          <w:sz w:val="19"/>
        </w:rPr>
        <w:t>Russland – System mit neoliberalen Tendenzen und Staatskontrolle, teilweise vergleichbar zu osteuropäischen Transformationsgesellschaften</w:t>
      </w:r>
    </w:p>
    <w:p>
      <w:r>
        <w:rPr>
          <w:color w:val="5A7D3A"/>
          <w:sz w:val="18"/>
        </w:rPr>
        <w:t>https://pubmed.ncbi.nlm.nih.gov/42823783/</w:t>
      </w:r>
    </w:p>
    <w:p>
      <w:pPr>
        <w:pStyle w:val="Heading2"/>
      </w:pPr>
      <w:r>
        <w:t>Guillain-Barré-Syndrom nach RSV-Vakzinierung: Fallbericht und diagnostische Lektionen</w:t>
      </w:r>
    </w:p>
    <w:p>
      <w:r>
        <w:rPr>
          <w:i/>
          <w:color w:val="666666"/>
          <w:sz w:val="18"/>
        </w:rPr>
        <w:t>Hreiz S et al.  ·  BMJ Case Rep  ·  01.10.2026  ·  PMID 42823139</w:t>
      </w:r>
    </w:p>
    <w:p>
      <w:r>
        <w:t>Fallbericht einer älteren Patientin mit Guillain-Barré-Syndrom zwei Wochen nach RSV-Impfung, die zunächst fehldiagnostiziert wurde, intensive Behandlung mit IVIG erforderte und sich nur partiell erholte.</w:t>
      </w:r>
    </w:p>
    <w:p>
      <w:r>
        <w:rPr>
          <w:b/>
        </w:rPr>
        <w:t xml:space="preserve">Ergebnis: </w:t>
      </w:r>
      <w:r>
        <w:t>Ein dokumentierter Fall eines Guillain-Barré-Syndroms mit zeitlichem Zusammenhang zur RSV-Vakzinierung; seltene, aber wichtige Nebenwirkung, die Notwendigkeit serieller klinischer Beurteilung und früher Eskalation unterstreicht.</w:t>
      </w:r>
    </w:p>
    <w:p>
      <w:r>
        <w:rPr>
          <w:b/>
          <w:sz w:val="19"/>
        </w:rPr>
        <w:t xml:space="preserve">Übertragbarkeit: </w:t>
      </w:r>
      <w:r>
        <w:rPr>
          <w:sz w:val="19"/>
        </w:rPr>
        <w:t>Großbritannien – vergleichbares Gesundheitssystem, Vigilanzmeldung in europäischer Sicherheitsüberwachung relevant</w:t>
      </w:r>
    </w:p>
    <w:p>
      <w:r>
        <w:rPr>
          <w:color w:val="5A7D3A"/>
          <w:sz w:val="18"/>
        </w:rPr>
        <w:t>https://pubmed.ncbi.nlm.nih.gov/42823139/</w:t>
      </w:r>
    </w:p>
    <w:p>
      <w:pPr>
        <w:pStyle w:val="Heading2"/>
      </w:pPr>
      <w:r>
        <w:t>Hepatitis-B-Impfantwortraten bei Hämodialysepatienten: Prädiktoren und Responderraten</w:t>
      </w:r>
    </w:p>
    <w:p>
      <w:r>
        <w:rPr>
          <w:i/>
          <w:color w:val="666666"/>
          <w:sz w:val="18"/>
        </w:rPr>
        <w:t>Gupta RD et al.  ·  Mymensingh Med J  ·  Okt. 2026  ·  PMID 42811835</w:t>
      </w:r>
    </w:p>
    <w:p>
      <w:r>
        <w:t>Querschnittstudie mit 50 Hämodialysepatienten in Bangladesch zur Messung von Anti-HBs-Titern nach Hepatitis-B-Impfung und Identifikation von Prädiktoren der Impfantwort.</w:t>
      </w:r>
    </w:p>
    <w:p>
      <w:r>
        <w:rPr>
          <w:b/>
        </w:rPr>
        <w:t xml:space="preserve">Ergebnis: </w:t>
      </w:r>
      <w:r>
        <w:t>Gesamtansprechquote 64%: 38% Hochresponder (Anti-HBs ≥100 mIU/ml), 26% schwache Responder (≥10 bis &lt;100 mIU/ml), 36% Nicht-Responder (&lt;10 mIU/ml); Alter &gt;50 Jahre, Diabetes und niedriges Serumalbmin waren signifikante Prädiktoren für schwache/keine Antwort (p&lt;0,05).</w:t>
      </w:r>
    </w:p>
    <w:p>
      <w:r>
        <w:rPr>
          <w:b/>
          <w:sz w:val="19"/>
        </w:rPr>
        <w:t xml:space="preserve">Übertragbarkeit: </w:t>
      </w:r>
      <w:r>
        <w:rPr>
          <w:sz w:val="19"/>
        </w:rPr>
        <w:t>Bangladesch – ähnliche Dialysepopulation, generalisierbar auf Hochrisikogruppen mit Malnutrition</w:t>
      </w:r>
    </w:p>
    <w:p>
      <w:r>
        <w:rPr>
          <w:color w:val="5A7D3A"/>
          <w:sz w:val="18"/>
        </w:rPr>
        <w:t>https://pubmed.ncbi.nlm.nih.gov/42811835/</w:t>
      </w:r>
    </w:p>
    <w:p>
      <w:pPr>
        <w:pStyle w:val="Heading2"/>
      </w:pPr>
      <w:r>
        <w:t>COVID-19-Impfeffektivität unter Alltagsbedingungen: Direkte und indirekte Effekte in Victoria, Australien</w:t>
      </w:r>
    </w:p>
    <w:p>
      <w:r>
        <w:rPr>
          <w:i/>
          <w:color w:val="666666"/>
          <w:sz w:val="18"/>
        </w:rPr>
        <w:t>Lin L et al.  ·  J R Soc Interface  ·  30.09.2026  ·  PMID 42811612</w:t>
      </w:r>
    </w:p>
    <w:p>
      <w:r>
        <w:t>Bevölkerungsbasierte Modellstudie mit 6,44 Millionen Einwohnern Victorias zur Quantifizierung der direkten und indirekten (Herden-)Schutzeffekte von COVID-19-Impfung während der Delta-Welle 2021.</w:t>
      </w:r>
    </w:p>
    <w:p>
      <w:r>
        <w:rPr>
          <w:b/>
        </w:rPr>
        <w:t xml:space="preserve">Ergebnis: </w:t>
      </w:r>
      <w:r>
        <w:t>Konservativ geschätzt: 315.000 Infektionen (95% BCI: 231k–406k), 33.400 Hospitalisierungen (95% BCI: 22k–46k) und 4.900 Todesfälle (95% BCI: 2,8k–7,2k) vermieden; diese Zahlen sind 4,0–, 7,5– und 8,0-fach höher als die beobachtete Fallzahl. Etwa die Hälfte der vermiedenen Infektionen und ein Viertel der Hospitalisierungen/Todesfälle gingen auf indirekten Schutz zurück.</w:t>
      </w:r>
    </w:p>
    <w:p>
      <w:r>
        <w:rPr>
          <w:b/>
          <w:sz w:val="19"/>
        </w:rPr>
        <w:t xml:space="preserve">Übertragbarkeit: </w:t>
      </w:r>
      <w:r>
        <w:rPr>
          <w:sz w:val="19"/>
        </w:rPr>
        <w:t>Australien – ähnliche Impfinfrastruktur wie Westeuropa, Bevölkerungsdaten robust</w:t>
      </w:r>
    </w:p>
    <w:p>
      <w:r>
        <w:rPr>
          <w:color w:val="5A7D3A"/>
          <w:sz w:val="18"/>
        </w:rPr>
        <w:t>https://pubmed.ncbi.nlm.nih.gov/42811612/</w:t>
      </w:r>
    </w:p>
    <w:p>
      <w:pPr>
        <w:pStyle w:val="Heading2"/>
      </w:pPr>
      <w:r>
        <w:t>HPV-Impfwissen und -akzeptanz bei Studierenden in Malaysia: Lücken trotz positiver Einstellung</w:t>
      </w:r>
    </w:p>
    <w:p>
      <w:r>
        <w:rPr>
          <w:i/>
          <w:color w:val="666666"/>
          <w:sz w:val="18"/>
        </w:rPr>
        <w:t>Lim MSH et al.  ·  Asian Pac J Cancer Prev  ·  01.09.2026  ·  PMID 42808405</w:t>
      </w:r>
    </w:p>
    <w:p>
      <w:r>
        <w:t>Querschnittstudie mit 382 Undergraduate-Studierenden in Sarawak zur Erhebung von HPV-Wissen, Einstellungen und Impfquoten; 55% waren ungeimpft.</w:t>
      </w:r>
    </w:p>
    <w:p>
      <w:r>
        <w:rPr>
          <w:b/>
        </w:rPr>
        <w:t xml:space="preserve">Ergebnis: </w:t>
      </w:r>
      <w:r>
        <w:t>HPV-Wissen moderat: Studierende aus Gesundheitsfachrichtungen zeigten höheres Wissen (aOR 2,0, 95% CI 1,1–3,5); Geimpfte hatten signifikant höheres Wissen (aOR 1,9, 95% CI 1,2–3,0). Einstellungen überwiegend positiv, aber Bedenken bezüglich Kosten, Sicherheit und sozialer Stigmatisierung blieben bestehen.</w:t>
      </w:r>
    </w:p>
    <w:p>
      <w:r>
        <w:rPr>
          <w:b/>
          <w:sz w:val="19"/>
        </w:rPr>
        <w:t xml:space="preserve">Übertragbarkeit: </w:t>
      </w:r>
      <w:r>
        <w:rPr>
          <w:sz w:val="19"/>
        </w:rPr>
        <w:t>Malaysia – mittleres Einkommen, nationales HPV-Programm, ähnliche schulische Erreichbarkeit wie Schwellenländer</w:t>
      </w:r>
    </w:p>
    <w:p>
      <w:r>
        <w:rPr>
          <w:color w:val="5A7D3A"/>
          <w:sz w:val="18"/>
        </w:rPr>
        <w:t>https://pubmed.ncbi.nlm.nih.gov/42808405/</w:t>
      </w:r>
    </w:p>
    <w:p>
      <w:pPr>
        <w:pStyle w:val="Heading2"/>
      </w:pPr>
      <w:r>
        <w:t>Masernimpfversagen bei Reiserückkehrern: Zwei Fallbeispiele aus Deutschland</w:t>
      </w:r>
    </w:p>
    <w:p>
      <w:r>
        <w:rPr>
          <w:i/>
          <w:color w:val="666666"/>
          <w:sz w:val="18"/>
        </w:rPr>
        <w:t>Schnell AP et al.  ·  Inn Med (Heidelb)  ·  08.09.2026  ·  PMID 42709141</w:t>
      </w:r>
    </w:p>
    <w:p>
      <w:r>
        <w:t>Fallbericht von zwei Masernpatienten nach Auslandsreisen, davon einer mit primärem Impfversagen nach Einfachimpfung mit schwerer Pneumonitis und einer mit sekundärem Impfversagen und atypischem Exanthem bei vermuteter Immundefizienz.</w:t>
      </w:r>
    </w:p>
    <w:p>
      <w:r>
        <w:rPr>
          <w:b/>
        </w:rPr>
        <w:t xml:space="preserve">Ergebnis: </w:t>
      </w:r>
      <w:r>
        <w:t>Zwei dokumentierte Masernfälle in Deutschland trotz Impfung – ein Fall mit primärem, einer mit sekundärem Impfversagen; Masern bleiben relevante Differenzialdiagnose auch bei Geimpften, reisemedizinische Beratung sollte Impfstatus erfassen.</w:t>
      </w:r>
    </w:p>
    <w:p>
      <w:r>
        <w:rPr>
          <w:b/>
          <w:sz w:val="19"/>
        </w:rPr>
        <w:t xml:space="preserve">Übertragbarkeit: </w:t>
      </w:r>
      <w:r>
        <w:rPr>
          <w:sz w:val="19"/>
        </w:rPr>
        <w:t>Deutsche Klinikdaten mit reisemedizinischem Bezug und Impfversagensursachen klinisch relevant</w:t>
      </w:r>
    </w:p>
    <w:p>
      <w:r>
        <w:rPr>
          <w:color w:val="5A7D3A"/>
          <w:sz w:val="18"/>
        </w:rPr>
        <w:t>https://pubmed.ncbi.nlm.nih.gov/42709141/</w:t>
      </w:r>
    </w:p>
    <w:p>
      <w:pPr>
        <w:pStyle w:val="Heading1"/>
      </w:pPr>
      <w:r>
        <w:t>Aufgenommen am 03.10.2026</w:t>
      </w:r>
    </w:p>
    <w:p>
      <w:pPr>
        <w:pStyle w:val="Heading2"/>
      </w:pPr>
      <w:r>
        <w:t>Impfquoten bei erwachsenen Diabetespatienten auf den Philippinen: Impfhürden und Chancen</w:t>
      </w:r>
    </w:p>
    <w:p>
      <w:r>
        <w:rPr>
          <w:i/>
          <w:color w:val="666666"/>
          <w:sz w:val="18"/>
        </w:rPr>
        <w:t>Jacobo RJB et al.  ·  Hum Vaccin Immunother  ·  02.10.2026  ·  PMID 42826175</w:t>
      </w:r>
    </w:p>
    <w:p>
      <w:r>
        <w:t>Querschnittstudie mit 284 philippinischen Erwachsenen mit Diabetes zur Erfassung von Impfquoten gegen Influenza, Pneumokokken, Herpes zoster, Hepatitis B, Tetanus und COVID-19 sowie Prädiktoren für Impfung.</w:t>
      </w:r>
    </w:p>
    <w:p>
      <w:r>
        <w:rPr>
          <w:b/>
        </w:rPr>
        <w:t xml:space="preserve">Ergebnis: </w:t>
      </w:r>
      <w:r>
        <w:t>Impfquoten: Influenza 44,4 %, Pneumokokken 49,6 %, Herpes zoster 18,1 %, Hepatitis B 15,5 %, Td/Tdap 23,2 %, COVID-19 97,9 %. Männliches Geschlecht, niedrigeres Alter und niedrigeres Einkommen waren mit niedrigeren Quoten assoziiert. Ärztliche Empfehlung war stärkster Prädiktor für alle Impfungen. Häufigste Gründe für Nicht-Impfung: fehlende Empfehlung (62–82 %), finanzielle Hürden (36–52 %), Impfen nicht als Priorität.</w:t>
      </w:r>
    </w:p>
    <w:p>
      <w:r>
        <w:rPr>
          <w:b/>
          <w:sz w:val="19"/>
        </w:rPr>
        <w:t xml:space="preserve">Übertragbarkeit: </w:t>
      </w:r>
      <w:r>
        <w:rPr>
          <w:sz w:val="19"/>
        </w:rPr>
        <w:t>Niedrig-mittleres Einkommen; Befunde zu Barrierenadressierung auf DACH begrenzt übertragbar</w:t>
      </w:r>
    </w:p>
    <w:p>
      <w:r>
        <w:rPr>
          <w:color w:val="5A7D3A"/>
          <w:sz w:val="18"/>
        </w:rPr>
        <w:t>https://pubmed.ncbi.nlm.nih.gov/42826175/</w:t>
      </w:r>
    </w:p>
    <w:p>
      <w:pPr>
        <w:pStyle w:val="Heading2"/>
      </w:pPr>
      <w:r>
        <w:t>Influenza-Impfeffektivität bei älteren Erwachsenen während Delta-Dominanz in China 2024–2025</w:t>
      </w:r>
    </w:p>
    <w:p>
      <w:r>
        <w:rPr>
          <w:i/>
          <w:color w:val="666666"/>
          <w:sz w:val="18"/>
        </w:rPr>
        <w:t>Liu X et al.  ·  BMC Geriatr  ·  25.07.2026  ·  PMID 42823662</w:t>
      </w:r>
    </w:p>
    <w:p>
      <w:r>
        <w:t>Multizenter Test-Negativ-Studie mit 4.694 älteren Patienten (≥60 Jahre) in der Provinz Zhejiang zur Messung der Impfeffektivität gegen A(H1N1)pdm09 unter Routinebedingungen.</w:t>
      </w:r>
    </w:p>
    <w:p>
      <w:r>
        <w:rPr>
          <w:b/>
        </w:rPr>
        <w:t xml:space="preserve">Ergebnis: </w:t>
      </w:r>
      <w:r>
        <w:t>Gesamteffektivität 53,3 % (95%-KI 45,4–60,2), nach Altersgruppe 56,9 % (60–69 Jahre), 51,2 % (70–79 Jahre), 57,7 % (≥80 Jahre). Effektivität gegen Hospitalisierung 53,9 % (95%-KI 37,3–66,0), gegen moderate bis schwere Influenza 68,8 % (95%-KI 50,0–80,6). Schutz sank von 58,0 % (37–71 Tage post-vakzination) auf 42,8 % (60–180 Tage). Impfquote 32,7 %.</w:t>
      </w:r>
    </w:p>
    <w:p>
      <w:r>
        <w:rPr>
          <w:b/>
          <w:sz w:val="19"/>
        </w:rPr>
        <w:t xml:space="preserve">Übertragbarkeit: </w:t>
      </w:r>
      <w:r>
        <w:rPr>
          <w:sz w:val="19"/>
        </w:rPr>
        <w:t>China-Studie; Labor-Bestätigung und Test-Negativ-Design sind übertragbar</w:t>
      </w:r>
    </w:p>
    <w:p>
      <w:r>
        <w:rPr>
          <w:color w:val="5A7D3A"/>
          <w:sz w:val="18"/>
        </w:rPr>
        <w:t>https://pubmed.ncbi.nlm.nih.gov/42823662/</w:t>
      </w:r>
    </w:p>
    <w:p>
      <w:pPr>
        <w:pStyle w:val="Heading2"/>
      </w:pPr>
      <w:r>
        <w:t>CAR-T-Therapie versus allogene Stammzelltransplantation bei refraktärem großzelligem B-Lymphom</w:t>
      </w:r>
    </w:p>
    <w:p>
      <w:r>
        <w:rPr>
          <w:i/>
          <w:color w:val="666666"/>
          <w:sz w:val="18"/>
        </w:rPr>
        <w:t>Maulhardt M et al.  ·  Clin Lymphoma Myeloma Leuk  ·  07.08.2026  ·  PMID 42686451</w:t>
      </w:r>
    </w:p>
    <w:p>
      <w:r>
        <w:t>Retrospektive Auswertung von 187 Patienten mit refraktärem großzelligem B-Lymphom, die entweder CAR-T-Zelltherapie (Axicabtagene Ciloleucel) oder allogene Transplantation erhielten, zur Vergleichbarkeit von Überleben und Nebenwirkungen.</w:t>
      </w:r>
    </w:p>
    <w:p>
      <w:r>
        <w:rPr>
          <w:b/>
        </w:rPr>
        <w:t xml:space="preserve">Ergebnis: </w:t>
      </w:r>
      <w:r>
        <w:t>12-Monats-progressionsfreies Überleben 50,1 % (CAR-T) vs. 33,8 % (Transplantation, p&lt;0,05); 12-Monats-Gesamtüberleben 60,5 % vs. 43,2 % (p&lt;0,05). Nicht-Rezidiv-Mortalität deutlich höher nach Transplantation (36 % vs. 12 %, p&lt;0,001), hauptsächlich durch Infektionen und Graft-versus-Host-Erkrankung. CAR-T zeigte Überlebensvorteil durch niedrigere Behandlungsmortalität.</w:t>
      </w:r>
    </w:p>
    <w:p>
      <w:r>
        <w:rPr>
          <w:b/>
          <w:sz w:val="19"/>
        </w:rPr>
        <w:t xml:space="preserve">Übertragbarkeit: </w:t>
      </w:r>
      <w:r>
        <w:rPr>
          <w:sz w:val="19"/>
        </w:rPr>
        <w:t>Deutsches Single-Center-Register mit vergleichbarem Versicherungssystem</w:t>
      </w:r>
    </w:p>
    <w:p>
      <w:r>
        <w:rPr>
          <w:color w:val="5A7D3A"/>
          <w:sz w:val="18"/>
        </w:rPr>
        <w:t>https://pubmed.ncbi.nlm.nih.gov/42686451/</w:t>
      </w:r>
    </w:p>
    <w:p>
      <w:pPr>
        <w:pStyle w:val="Heading2"/>
      </w:pPr>
      <w:r>
        <w:t>Attenuierter Influenzaimpfstoff erhöht Pneumokokken-Besiedlung und Übertragung in Haushalten</w:t>
      </w:r>
    </w:p>
    <w:p>
      <w:r>
        <w:rPr>
          <w:i/>
          <w:color w:val="666666"/>
          <w:sz w:val="18"/>
        </w:rPr>
        <w:t>Metz J et al.  ·  Lancet Microbe  ·  18.08.2026  ·  PMID 42612652</w:t>
      </w:r>
    </w:p>
    <w:p>
      <w:r>
        <w:t>Randomisierte UK-Studie mit 405 Familien (1.379 Personen), die untersuchte, ob der lebendabgeschwächte Influenzaimpfstoff bei Kleinkindern die Dichte von Streptococcus-pneumoniae-Besiedlung und deren Übertragung auf Haushaltskontakte erhöht.</w:t>
      </w:r>
    </w:p>
    <w:p>
      <w:r>
        <w:rPr>
          <w:b/>
        </w:rPr>
        <w:t xml:space="preserve">Ergebnis: </w:t>
      </w:r>
      <w:r>
        <w:t>Bei geimpften Kindern 2,5-fach erhöhte Odds für Anstieg der Pneumokokken-Dichte nach 14 Tagen (95%-KI 1,5–4,3, p=0,0008) und 2,0-fach erhöhte Odds für Pneumokokken-Erwerb bei Haushaltskonten (95%-KI 1,2–3,5, p=0,015). Effekte weitgehend abgeklungen bis Tag 28. Impfquote bei Studienende 96 %, Studienvollendung 96 %.</w:t>
      </w:r>
    </w:p>
    <w:p>
      <w:r>
        <w:rPr>
          <w:b/>
          <w:sz w:val="19"/>
        </w:rPr>
        <w:t xml:space="preserve">Übertragbarkeit: </w:t>
      </w:r>
      <w:r>
        <w:rPr>
          <w:sz w:val="19"/>
        </w:rPr>
        <w:t>UK-Register mit vergleichbarer Haushaltsstruktur, Übertragbarkeit auf Deutschland eingeschränkt</w:t>
      </w:r>
    </w:p>
    <w:p>
      <w:r>
        <w:rPr>
          <w:color w:val="5A7D3A"/>
          <w:sz w:val="18"/>
        </w:rPr>
        <w:t>https://pubmed.ncbi.nlm.nih.gov/42612652/</w:t>
      </w:r>
    </w:p>
    <w:p>
      <w:pPr>
        <w:pStyle w:val="Heading2"/>
      </w:pPr>
      <w:r>
        <w:t>Frühe CAR-T-Intensivierung bei hochrisiko-Mantelzelllymphom: CARMAN-Protokoll</w:t>
      </w:r>
    </w:p>
    <w:p>
      <w:r>
        <w:rPr>
          <w:i/>
          <w:color w:val="666666"/>
          <w:sz w:val="18"/>
        </w:rPr>
        <w:t>Tilch MK et al.  ·  BMC Cancer  ·  11.08.2026  ·  PMID 42581349</w:t>
      </w:r>
    </w:p>
    <w:p>
      <w:r>
        <w:t>Randomisierte Phase-II-Studie zur Prüfung, ob eine Verkürzung der Induktionschemotherapie gefolgt von CAR-T-Zelltherapie das Überleben bei hochrisiko-Mantelzelllymphom verbessert – als Alternative zu Standardtherapie.</w:t>
      </w:r>
    </w:p>
    <w:p>
      <w:r>
        <w:rPr>
          <w:b/>
        </w:rPr>
        <w:t xml:space="preserve">Ergebnis: </w:t>
      </w:r>
      <w:r>
        <w:t>Rekrutierung 2026 abgeschlossen; 150 Patienten aus 5 europäischen Ländern randomisiert 1:1. Primärer Endpunkt ist ‚Failure-free survival'; Sekundärendpunkte umfassen Gesamtresponserate, komplette Remissionsrate, Sicherheit und Lebensqualität. Ergebnisse stehen aus.</w:t>
      </w:r>
    </w:p>
    <w:p>
      <w:r>
        <w:rPr>
          <w:b/>
          <w:sz w:val="19"/>
        </w:rPr>
        <w:t xml:space="preserve">Übertragbarkeit: </w:t>
      </w:r>
      <w:r>
        <w:rPr>
          <w:sz w:val="19"/>
        </w:rPr>
        <w:t>Multizenter europäische Studie mit vergleichbarem Gesundheitssystem</w:t>
      </w:r>
    </w:p>
    <w:p>
      <w:r>
        <w:rPr>
          <w:color w:val="5A7D3A"/>
          <w:sz w:val="18"/>
        </w:rPr>
        <w:t>https://pubmed.ncbi.nlm.nih.gov/42581349/</w:t>
      </w:r>
    </w:p>
    <w:p>
      <w:pPr>
        <w:pStyle w:val="Heading2"/>
      </w:pPr>
      <w:r>
        <w:t>Wirtschaftliche Präferenzen vorhersagen COVID-19-Impfabsicht und Verhalten</w:t>
      </w:r>
    </w:p>
    <w:p>
      <w:r>
        <w:rPr>
          <w:i/>
          <w:color w:val="666666"/>
          <w:sz w:val="18"/>
        </w:rPr>
        <w:t>Angerer S et al.  ·  Health Econ  ·  30.07.2026  ·  PMID 42533263</w:t>
      </w:r>
    </w:p>
    <w:p>
      <w:r>
        <w:t>Bevölkerungsstudie mit &gt;5.000 Personen in Deutschland, die die Beziehung zwischen Temperament (Altruismus, Geduld, Risikobereitschaft, Vertrauen) und COVID-19-Impfbereitschaft untersuchte.</w:t>
      </w:r>
    </w:p>
    <w:p>
      <w:r>
        <w:rPr>
          <w:b/>
        </w:rPr>
        <w:t xml:space="preserve">Ergebnis: </w:t>
      </w:r>
      <w:r>
        <w:t>Robuste positive Assoziationen zwischen Impfbereitschaft und Geduld sowie Vertrauen. Altruismus zeigte positive Beziehung zur Impfbereitschaft, die jedoch bei Kontrolle anderer Präferenzen verschwand. Risikobereitschaft zeigte keine konsistenten Effekte. Befunde unterstreichen Bedeutung von Vertrauen und zeitlichem Denken für Impfentscheidungen.</w:t>
      </w:r>
    </w:p>
    <w:p>
      <w:r>
        <w:rPr>
          <w:b/>
          <w:sz w:val="19"/>
        </w:rPr>
        <w:t xml:space="preserve">Übertragbarkeit: </w:t>
      </w:r>
      <w:r>
        <w:rPr>
          <w:sz w:val="19"/>
        </w:rPr>
        <w:t>Deutsche Bevölkerungsstichprobe, direkt auf deutsches Gesundheitssystem übertragbar</w:t>
      </w:r>
    </w:p>
    <w:p>
      <w:r>
        <w:rPr>
          <w:color w:val="5A7D3A"/>
          <w:sz w:val="18"/>
        </w:rPr>
        <w:t>https://pubmed.ncbi.nlm.nih.gov/42533263/</w:t>
      </w:r>
    </w:p>
    <w:p>
      <w:pPr>
        <w:pStyle w:val="Heading1"/>
      </w:pPr>
      <w:r>
        <w:t>Aufgenommen am 02.10.2026</w:t>
      </w:r>
    </w:p>
    <w:p>
      <w:pPr>
        <w:pStyle w:val="Heading2"/>
      </w:pPr>
      <w:r>
        <w:t>COVID-19-Auffrischungsimpfung reduzierte Rehospitalisierungsrisiko um 39 Prozent</w:t>
      </w:r>
    </w:p>
    <w:p>
      <w:r>
        <w:rPr>
          <w:i/>
          <w:color w:val="666666"/>
          <w:sz w:val="18"/>
        </w:rPr>
        <w:t>Neves RKAD et al.  ·  PLoS One  ·  01.10.2026  ·  PMID 42821558</w:t>
      </w:r>
    </w:p>
    <w:p>
      <w:r>
        <w:t>Kohortenstudie in Rio de Janeiro untersuchte, ob Impfstatus die Rehospitalisierung wegen COVID-19-Reinfektionen zwischen 2020 und 2022 beeinflusste.</w:t>
      </w:r>
    </w:p>
    <w:p>
      <w:r>
        <w:rPr>
          <w:b/>
        </w:rPr>
        <w:t xml:space="preserve">Ergebnis: </w:t>
      </w:r>
      <w:r>
        <w:t>Vollständige Impfung mit Auffrischung (≥3 Dosen) reduzierte das Rehospitalisierungsrisiko um 39 Prozent (sHR: 0,61; 95 %-KI: 0,52–0,73). Älteres Alter, Multimorbidität und Black race waren unabhängige Risikofaktoren. Die Herdenimmunität durch hohe Impfquoten hätte Ergebnisse um circa 25 Prozent verbessert.</w:t>
      </w:r>
    </w:p>
    <w:p>
      <w:r>
        <w:rPr>
          <w:b/>
          <w:sz w:val="19"/>
        </w:rPr>
        <w:t xml:space="preserve">Übertragbarkeit: </w:t>
      </w:r>
      <w:r>
        <w:rPr>
          <w:sz w:val="19"/>
        </w:rPr>
        <w:t>Brasilien, aber Effektmaß unabhängig von Systemen, Versorgungsdaten</w:t>
      </w:r>
    </w:p>
    <w:p>
      <w:r>
        <w:rPr>
          <w:color w:val="5A7D3A"/>
          <w:sz w:val="18"/>
        </w:rPr>
        <w:t>https://pubmed.ncbi.nlm.nih.gov/42821558/</w:t>
      </w:r>
    </w:p>
    <w:p>
      <w:pPr>
        <w:pStyle w:val="Heading2"/>
      </w:pPr>
      <w:r>
        <w:t>Impfverzögerungen bei Kleinkindern in Bagdad: Wissen und Verfügbarkeit als Schlüsselfaktoren</w:t>
      </w:r>
    </w:p>
    <w:p>
      <w:r>
        <w:rPr>
          <w:i/>
          <w:color w:val="666666"/>
          <w:sz w:val="18"/>
        </w:rPr>
        <w:t>Shah SSAM et al.  ·  PLoS One  ·  01.10.2026  ·  PMID 42821556</w:t>
      </w:r>
    </w:p>
    <w:p>
      <w:r>
        <w:t>Querschnittsstudie mit dokumentierten Impfkarten bei 168 Kindern (18–24 Monate) in Bagdad prüfte Zeitlichkeit und Verzögerungsgründe.</w:t>
      </w:r>
    </w:p>
    <w:p>
      <w:r>
        <w:rPr>
          <w:b/>
        </w:rPr>
        <w:t xml:space="preserve">Ergebnis: </w:t>
      </w:r>
      <w:r>
        <w:t>Nur 8,3 Prozent erhielten alle Impfungen pünktlich; 91,7 Prozent Verzögerungen (75 Prozent an mehreren Terminen). Fehlende Kenntnisse zum Impfplan (aOR: 3,85; 95 %-KI: 1,04–14,24) und wahrgenommene Impfstoffverfügbarkeit (aOR: 4,74; 95 %-KI: 1,09–20,51) waren Hauptrisiken. Keine Soziodemografika signifikant.</w:t>
      </w:r>
    </w:p>
    <w:p>
      <w:r>
        <w:rPr>
          <w:b/>
          <w:sz w:val="19"/>
        </w:rPr>
        <w:t xml:space="preserve">Übertragbarkeit: </w:t>
      </w:r>
      <w:r>
        <w:rPr>
          <w:sz w:val="19"/>
        </w:rPr>
        <w:t>Postkonflikt-Setting, aber Identifikation gestaltbarer Hindernisse (Wissen, Logistik) übertragbar</w:t>
      </w:r>
    </w:p>
    <w:p>
      <w:r>
        <w:rPr>
          <w:color w:val="5A7D3A"/>
          <w:sz w:val="18"/>
        </w:rPr>
        <w:t>https://pubmed.ncbi.nlm.nih.gov/42821556/</w:t>
      </w:r>
    </w:p>
    <w:p>
      <w:pPr>
        <w:pStyle w:val="Heading2"/>
      </w:pPr>
      <w:r>
        <w:t>Impffehler in der Primärversorgung: Systemischer Ansatz statt Individualisierung</w:t>
      </w:r>
    </w:p>
    <w:p>
      <w:r>
        <w:rPr>
          <w:i/>
          <w:color w:val="666666"/>
          <w:sz w:val="18"/>
        </w:rPr>
        <w:t>Cirino FMSB et al.  ·  Rev Bras Enferm  ·  28.09.2026  ·  PMID 42820566</w:t>
      </w:r>
    </w:p>
    <w:p>
      <w:r>
        <w:t>Reflexive Studie zur Rolle von Überlastung und prekären Arbeitsbedingungen als Systemtreiber von Impffehlern in der Primärversorgung Brasiliens.</w:t>
      </w:r>
    </w:p>
    <w:p>
      <w:r>
        <w:rPr>
          <w:b/>
        </w:rPr>
        <w:t xml:space="preserve">Ergebnis: </w:t>
      </w:r>
      <w:r>
        <w:t>Impffehler sind Ausdruck von Burnout und Überbelastung bei Pflegefachpersonen, nicht nur technische oder individuelle Versäumnisse. Prävention verlangt Systemansatz (Autonomie, Arbeitsbedingungen, kritische Reflexionsräume), nicht nur Einzelverantwortlichkeit.</w:t>
      </w:r>
    </w:p>
    <w:p>
      <w:r>
        <w:rPr>
          <w:b/>
          <w:sz w:val="19"/>
        </w:rPr>
        <w:t xml:space="preserve">Übertragbarkeit: </w:t>
      </w:r>
      <w:r>
        <w:rPr>
          <w:sz w:val="19"/>
        </w:rPr>
        <w:t>Brasilien, aber systemische Sicht auf Impfqualität gilt überall; Personalressourcen und Arbeitsbedingungen zentral</w:t>
      </w:r>
    </w:p>
    <w:p>
      <w:r>
        <w:rPr>
          <w:color w:val="5A7D3A"/>
          <w:sz w:val="18"/>
        </w:rPr>
        <w:t>https://pubmed.ncbi.nlm.nih.gov/42820566/</w:t>
      </w:r>
    </w:p>
    <w:p>
      <w:pPr>
        <w:pStyle w:val="Heading2"/>
      </w:pPr>
      <w:r>
        <w:t>HPV-Impfbereitschaft bei Eltern in China: 63 % bereit, nur 18 % tatsächlich geimpft</w:t>
      </w:r>
    </w:p>
    <w:p>
      <w:r>
        <w:rPr>
          <w:i/>
          <w:color w:val="666666"/>
          <w:sz w:val="18"/>
        </w:rPr>
        <w:t>Li Y et al.  ·  Front Public Health  ·  16.09.2026  ·  PMID 42819398</w:t>
      </w:r>
    </w:p>
    <w:p>
      <w:r>
        <w:t>Querschnittsstudie mit 506 Eltern von Schülerinnen (China) prüfte nach Theory of Planned Behavior, welche Faktoren HPV-Impfwilligkeit und tatsächliche Inanspruchnahme vorhersagen.</w:t>
      </w:r>
    </w:p>
    <w:p>
      <w:r>
        <w:rPr>
          <w:b/>
        </w:rPr>
        <w:t xml:space="preserve">Ergebnis: </w:t>
      </w:r>
      <w:r>
        <w:t>63,24 Prozent zeigten Bereitschaft, aber nur 17,98 Prozent tatsächliche Impfquote. Höhere Elternbildung, Haushaltseinkommen 5.000–10.000 RMB, Familiengeschichte Krebs und positive Einstellung waren Prädiktoren. Wahrgenommene Verhaltenskontrolle (Barrieren) zeigte negatives Pfadkoeffizient (β = –0,10, p &lt; 0,01).</w:t>
      </w:r>
    </w:p>
    <w:p>
      <w:r>
        <w:rPr>
          <w:b/>
          <w:sz w:val="19"/>
        </w:rPr>
        <w:t xml:space="preserve">Übertragbarkeit: </w:t>
      </w:r>
      <w:r>
        <w:rPr>
          <w:sz w:val="19"/>
        </w:rPr>
        <w:t>China, aber Theory of Planned Behavior universell anwendbar; Gap zwischen Bereitschaft und Umsetzung ist globales Problem</w:t>
      </w:r>
    </w:p>
    <w:p>
      <w:r>
        <w:rPr>
          <w:color w:val="5A7D3A"/>
          <w:sz w:val="18"/>
        </w:rPr>
        <w:t>https://pubmed.ncbi.nlm.nih.gov/42819398/</w:t>
      </w:r>
    </w:p>
    <w:p>
      <w:pPr>
        <w:pStyle w:val="Heading2"/>
      </w:pPr>
      <w:r>
        <w:t>Zero-Dose-Kinder in Ländern mit niedrigem Einkommen: Hausgeburten top Risikofaktor</w:t>
      </w:r>
    </w:p>
    <w:p>
      <w:r>
        <w:rPr>
          <w:i/>
          <w:color w:val="666666"/>
          <w:sz w:val="18"/>
        </w:rPr>
        <w:t>Bobo FT et al.  ·  Int J Equity Health  ·  04.08.2026  ·  PMID 42816851</w:t>
      </w:r>
    </w:p>
    <w:p>
      <w:r>
        <w:t>Sekundäranalyse von zwei DHS-Runden aus zehn Ländern mit niedrigem/unterem Einkommen prüfte Trends bei Kinder ohne Grundimmunisierung und bevölkerungszuschreibbare Risikofaktoren.</w:t>
      </w:r>
    </w:p>
    <w:p>
      <w:r>
        <w:rPr>
          <w:b/>
        </w:rPr>
        <w:t xml:space="preserve">Ergebnis: </w:t>
      </w:r>
      <w:r>
        <w:t>Zero-Dose-Prävalenz stieg in fünf Ländern signifikant (z. B. Mosambik 4,8 % auf 14,2 %, Madagaskar 13,3 % auf 18,1 %). Hausgeburt hatte höchste PAF (17,1 %; 95 %-KI: 14,1–19,6), gefolgt von &lt;4 ANC-Kontakten (8,6 %; 95 %-KI: 7,2–10,0). Reproductive Health Services kombiniert: PAF 29,4 Prozent. Vermögen-bedingte Ungleichheit überall signifikant.</w:t>
      </w:r>
    </w:p>
    <w:p>
      <w:r>
        <w:rPr>
          <w:b/>
          <w:sz w:val="19"/>
        </w:rPr>
        <w:t xml:space="preserve">Übertragbarkeit: </w:t>
      </w:r>
      <w:r>
        <w:rPr>
          <w:sz w:val="19"/>
        </w:rPr>
        <w:t>LLMIC, aber bevölkerungszuschreibbare Anteile und Kausalkettenlogik helfen Priorisierung in ähnlichen Systemen</w:t>
      </w:r>
    </w:p>
    <w:p>
      <w:r>
        <w:rPr>
          <w:color w:val="5A7D3A"/>
          <w:sz w:val="18"/>
        </w:rPr>
        <w:t>https://pubmed.ncbi.nlm.nih.gov/42816851/</w:t>
      </w:r>
    </w:p>
    <w:p>
      <w:pPr>
        <w:pStyle w:val="Heading2"/>
      </w:pPr>
      <w:r>
        <w:t>Impfskepsis in Pakistan: Mehrstufig randomisierte Surveys zeigen 33,8 Prozent Hesitancy</w:t>
      </w:r>
    </w:p>
    <w:p>
      <w:r>
        <w:rPr>
          <w:i/>
          <w:color w:val="666666"/>
          <w:sz w:val="18"/>
        </w:rPr>
        <w:t>Honghe L et al.  ·  J Epidemiol Glob Health  ·  12.08.2026  ·  PMID 42809170</w:t>
      </w:r>
    </w:p>
    <w:p>
      <w:r>
        <w:t>Querschnittsstudie mit 1.200 Teilnehmern (Pakistan, Juni–August 2021) nutzte mehrstufig stratifizierte Paired-Response-Frameworks, um Impfskepsis und Underreporting zu quantifizieren.</w:t>
      </w:r>
    </w:p>
    <w:p>
      <w:r>
        <w:rPr>
          <w:b/>
        </w:rPr>
        <w:t xml:space="preserve">Ergebnis: </w:t>
      </w:r>
      <w:r>
        <w:t>Impfskepsis wurde mit MSPRF-I auf 33,8 Prozent (vs. 24,3 % in konventionellen Befragungen) geschätzt, mit 290–399 % höherer Effizienz. Urban-rural-Unterschiede bei Offenbarungsbereitschaft, aber systematische Unterschätzung in Routineerhebungen.</w:t>
      </w:r>
    </w:p>
    <w:p>
      <w:r>
        <w:rPr>
          <w:b/>
          <w:sz w:val="19"/>
        </w:rPr>
        <w:t xml:space="preserve">Übertragbarkeit: </w:t>
      </w:r>
      <w:r>
        <w:rPr>
          <w:sz w:val="19"/>
        </w:rPr>
        <w:t>Pakistan, neue Methodik zur Erfassung von Hesitancy auch in Hochrisiko-Settings nutzbar</w:t>
      </w:r>
    </w:p>
    <w:p>
      <w:r>
        <w:rPr>
          <w:color w:val="5A7D3A"/>
          <w:sz w:val="18"/>
        </w:rPr>
        <w:t>https://pubmed.ncbi.nlm.nih.gov/42809170/</w:t>
      </w:r>
    </w:p>
    <w:p>
      <w:pPr>
        <w:pStyle w:val="Heading1"/>
      </w:pPr>
      <w:r>
        <w:t>Aufgenommen am 01.10.2026</w:t>
      </w:r>
    </w:p>
    <w:p>
      <w:pPr>
        <w:pStyle w:val="Heading2"/>
      </w:pPr>
      <w:r>
        <w:t>Impfprogramme in Konfliktzonen: intrinsischer, instrumentaler und symbolischer Wert</w:t>
      </w:r>
    </w:p>
    <w:p>
      <w:r>
        <w:rPr>
          <w:i/>
          <w:color w:val="666666"/>
          <w:sz w:val="18"/>
        </w:rPr>
        <w:t>Sabahelzain MM et al.  ·  Hum Vaccin Immunother  ·  30.09.2026  ·  PMID 42814974</w:t>
      </w:r>
    </w:p>
    <w:p>
      <w:r>
        <w:t>Qualitative Analyse, welche die Werte von Impfprogrammen in humanitären Krisen aus ethischer Perspektive untersucht und plädiert für deren Verstetigung als Frage der Gerechtigkeit.</w:t>
      </w:r>
    </w:p>
    <w:p>
      <w:r>
        <w:rPr>
          <w:b/>
        </w:rPr>
        <w:t xml:space="preserve">Ergebnis: </w:t>
      </w:r>
      <w:r>
        <w:t>Die Autoren argumentieren, dass Impfungen in Konfliktzonen über die Notfallreaktion hinaus als intrinsisch wertvoll (Menschenrecht auf Gesundheit), instrumentell wertvoll (Krankheitsvorbeugung) und symbolisch wertvoll (Vertrauenszeichen des Staates) anzusehen sind. Diese dreifache Wertigkeit rechtfertigt die Priorisierung ihrer Verstetigung zur Stärkung der Gesundheitssystemresilienz.</w:t>
      </w:r>
    </w:p>
    <w:p>
      <w:r>
        <w:rPr>
          <w:b/>
          <w:sz w:val="19"/>
        </w:rPr>
        <w:t xml:space="preserve">Übertragbarkeit: </w:t>
      </w:r>
      <w:r>
        <w:rPr>
          <w:sz w:val="19"/>
        </w:rPr>
        <w:t>Qualitatives Konzeptpapier; Übertragbarkeit hängt von nationalen Impfkalender und Sicherheitslage ab.</w:t>
      </w:r>
    </w:p>
    <w:p>
      <w:r>
        <w:rPr>
          <w:color w:val="5A7D3A"/>
          <w:sz w:val="18"/>
        </w:rPr>
        <w:t>https://pubmed.ncbi.nlm.nih.gov/42814974/</w:t>
      </w:r>
    </w:p>
    <w:p>
      <w:pPr>
        <w:pStyle w:val="Heading2"/>
      </w:pPr>
      <w:r>
        <w:t>Tollwutpostexpositionsprophylaxe im Iran: Registerdaten und Adhärenz</w:t>
      </w:r>
    </w:p>
    <w:p>
      <w:r>
        <w:rPr>
          <w:i/>
          <w:color w:val="666666"/>
          <w:sz w:val="18"/>
        </w:rPr>
        <w:t>Babaee E et al.  ·  PLoS Negl Trop Dis  ·  30.09.2026  ·  PMID 42814726</w:t>
      </w:r>
    </w:p>
    <w:p>
      <w:r>
        <w:t>Sekundäranalyse von 507.404 Tierbissvorfällen aus dem iranischen Tollwut-Impfregister (März 2022 – September 2023) zur Dokumentation der Adhärenz zu Impf- und Immunglobulin-Richtlinien.</w:t>
      </w:r>
    </w:p>
    <w:p>
      <w:r>
        <w:rPr>
          <w:b/>
        </w:rPr>
        <w:t xml:space="preserve">Ergebnis: </w:t>
      </w:r>
      <w:r>
        <w:t>73,6% Männer; häufigste Altersgruppe 31–40 Jahre (19,8%). Hunde verursachten 76,2%, Katzen 20,8% der Expositionen. Höchste Inzidenz in Nordprovinzen (North Khorasan 773/100.000, Golestan 767/100.000 Einwohner). Wundreinigung dokumentiert bei 94,3%; erste Impfdosis innerhalb 48 h bei 96,4%. Gesamte Impfserie: 68,1% erhielten drei Dosen, 24,2% vier. Immunglobulin wurde bei 95,6% der Kategorie-III-Expositionen gegeben, aber auch unangemessen bei Kategorie I (6,1%) und II (4,7%). Bei Fledermauskontakt nur 36,8% als Kategorie III klassifiziert und 38,7% mit Immunglobulin versorgt.</w:t>
      </w:r>
    </w:p>
    <w:p>
      <w:r>
        <w:rPr>
          <w:b/>
          <w:sz w:val="19"/>
        </w:rPr>
        <w:t xml:space="preserve">Übertragbarkeit: </w:t>
      </w:r>
      <w:r>
        <w:rPr>
          <w:sz w:val="19"/>
        </w:rPr>
        <w:t>Iran, Registerdaten; mittlere Übertragbarkeit auf Deutschland (unterschiedliche epidemiologische Lage).</w:t>
      </w:r>
    </w:p>
    <w:p>
      <w:r>
        <w:rPr>
          <w:color w:val="5A7D3A"/>
          <w:sz w:val="18"/>
        </w:rPr>
        <w:t>https://pubmed.ncbi.nlm.nih.gov/42814726/</w:t>
      </w:r>
    </w:p>
    <w:p>
      <w:pPr>
        <w:pStyle w:val="Heading2"/>
      </w:pPr>
      <w:r>
        <w:t>Auditive Nebenwirkungen und COVID-19-Impfung: Signalbewertung im US-VAERS</w:t>
      </w:r>
    </w:p>
    <w:p>
      <w:r>
        <w:rPr>
          <w:i/>
          <w:color w:val="666666"/>
          <w:sz w:val="18"/>
        </w:rPr>
        <w:t>Wu J et al.  ·  Front Public Health  ·  15.09.2026  ·  PMID 42812531</w:t>
      </w:r>
    </w:p>
    <w:p>
      <w:r>
        <w:t>Unterbrochene Zeitreihenanalyse von US-VAERS-Daten (2018–2025) zur Frage, ob Meldungen auditorischer Nebenwirkungen nach COVID-19-Impf-Zulassung zunahmen und ob dies einen echten Sicherheitssignal oder Meldeverzerrung widerspiegelt.</w:t>
      </w:r>
    </w:p>
    <w:p>
      <w:r>
        <w:rPr>
          <w:b/>
        </w:rPr>
        <w:t xml:space="preserve">Ergebnis: </w:t>
      </w:r>
      <w:r>
        <w:t>Von 1.347.820 Berichten betrafen 27.750 auditorische Nebenwirkungen. Nach der COVID-19-Zulassung stiegen Meldungsraten an (β=2.317,4, 95%-KI 1.079,1–3.555,6; p&lt;0,001). Quasi-Poisson-Modelle zeigten IRR von 5,62–7,36 (p≤0,015). Effekt war heterogen nach Alter: stark bei 18–64 Jahren (p=0,010) und ≥65 Jahren (p=0,0004), nicht signifikant &lt;18 Jahren (p=0,67). Dermatologie-Sentinel (Kontrolle) zeigte keine Änderung (IRR 1,09, p=0,83). Auditorische Nebenwirkungen waren in COVID-19-Berichten häufiger (2,42%) als Influenza (0,88%) oder andere Impfstoffe (0,84%).</w:t>
      </w:r>
    </w:p>
    <w:p>
      <w:r>
        <w:rPr>
          <w:b/>
          <w:sz w:val="19"/>
        </w:rPr>
        <w:t xml:space="preserve">Übertragbarkeit: </w:t>
      </w:r>
      <w:r>
        <w:rPr>
          <w:sz w:val="19"/>
        </w:rPr>
        <w:t>US-Passive-Surveillance-Daten; Übertragbarkeit auf Deutschland eingeschränkt (anderes Meldesystem).</w:t>
      </w:r>
    </w:p>
    <w:p>
      <w:r>
        <w:rPr>
          <w:color w:val="5A7D3A"/>
          <w:sz w:val="18"/>
        </w:rPr>
        <w:t>https://pubmed.ncbi.nlm.nih.gov/42812531/</w:t>
      </w:r>
    </w:p>
    <w:p>
      <w:pPr>
        <w:pStyle w:val="Heading2"/>
      </w:pPr>
      <w:r>
        <w:t>Reaktogenität mRNA- vs. proteinbasierter COVID-19-Impfstoffe 2023–2024: BEEHIVE-Studie</w:t>
      </w:r>
    </w:p>
    <w:p>
      <w:r>
        <w:rPr>
          <w:i/>
          <w:color w:val="666666"/>
          <w:sz w:val="18"/>
        </w:rPr>
        <w:t>Yoon SK et al.  ·  Hum Vaccin Immunother  ·  29.09.2026  ·  PMID 42811742</w:t>
      </w:r>
    </w:p>
    <w:p>
      <w:r>
        <w:t>Doppelblinde randomisierte Studie (NCT06065176) vergleicht Reaktogenität von Novavax (Protein) mit Pfizer-BioNTech (mRNA) XBB.1.5-Impfstoff bei Personen mit ≥2 vorherigen mRNA-Dosen.</w:t>
      </w:r>
    </w:p>
    <w:p>
      <w:r>
        <w:rPr>
          <w:b/>
        </w:rPr>
        <w:t xml:space="preserve">Ergebnis: </w:t>
      </w:r>
      <w:r>
        <w:t>Novavax (n=448) vs. Pfizer (n=453): Am Tag 1 berichteten signifikant weniger Novavax-Empfänger systemische Reaktogenität (62,1% vs. 75,7%; Risikodifferenz −13,7%, 95%-KI −19,6% bis −7,7%, p&lt;0,0001) und lokale Reaktionen (81,0% vs. 92,7%; Risikodifferenz −11,7%, 95%-KI −16,0% bis −7,3%, p&lt;0,0001). Mittlere Ereigniszahl pro Person am Tag 1 und 2 signifikant niedriger für Novavax (je p&lt;0,0001). Die meisten Ereignisse waren mild. Am Tag 6 hatten &gt;80% bzw. &gt;94% keine systemischen oder lokalen Reaktionen.</w:t>
      </w:r>
    </w:p>
    <w:p>
      <w:r>
        <w:rPr>
          <w:b/>
          <w:sz w:val="19"/>
        </w:rPr>
        <w:t xml:space="preserve">Übertragbarkeit: </w:t>
      </w:r>
      <w:r>
        <w:rPr>
          <w:sz w:val="19"/>
        </w:rPr>
        <w:t>USA-Studie, aber primär Sicherheitsfrage – übertragbar auf Deutsche Zulassungsbewertung.</w:t>
      </w:r>
    </w:p>
    <w:p>
      <w:r>
        <w:rPr>
          <w:color w:val="5A7D3A"/>
          <w:sz w:val="18"/>
        </w:rPr>
        <w:t>https://pubmed.ncbi.nlm.nih.gov/42811742/</w:t>
      </w:r>
    </w:p>
    <w:p>
      <w:pPr>
        <w:pStyle w:val="Heading2"/>
      </w:pPr>
      <w:r>
        <w:t>Hybridimmunität gegen SARS-CoV-2: Langzeitdynamik bei Angehörigen der Gesundheitsberufe</w:t>
      </w:r>
    </w:p>
    <w:p>
      <w:r>
        <w:rPr>
          <w:i/>
          <w:color w:val="666666"/>
          <w:sz w:val="18"/>
        </w:rPr>
        <w:t>Tekinsoy M et al.  ·  Viruses  ·  19.09.2026  ·  PMID 42797871</w:t>
      </w:r>
    </w:p>
    <w:p>
      <w:r>
        <w:t>Vierjährige Kohortenstudie (2020–Juni 2024) von Gesundheitsarbeitern, die zwischen Hybrid- (Infektion + Impfung) und reiner Impfimmunität unterscheidet und Antikörperhaltbarkeit bewertet.</w:t>
      </w:r>
    </w:p>
    <w:p>
      <w:r>
        <w:rPr>
          <w:b/>
        </w:rPr>
        <w:t xml:space="preserve">Ergebnis: </w:t>
      </w:r>
      <w:r>
        <w:t>142 Personen mit Längsdaten (1180 Tage Nachverfolgung): 66,2% erlebten mindestens eine Durchbruchinfektion, 14,1% zwei. Anti-N-Antikörper sanken nach Infektion 2,3-fach zwischen Monat 3 und 6; Seropositiv-Rate fiel von 82% auf 40,4% (Median bis Seronegatitivät: 179 Tage). Hybridimmunität mit zwei Dosen hatte Anti-S-IgG und sVNT-Titer vergleichbar mit drei reinen Impfungen. Dritte Dosis verstärkte Anti-S-Persistenz signifikant nach 9 Monaten.</w:t>
      </w:r>
    </w:p>
    <w:p>
      <w:r>
        <w:rPr>
          <w:b/>
          <w:sz w:val="19"/>
        </w:rPr>
        <w:t xml:space="preserve">Übertragbarkeit: </w:t>
      </w:r>
      <w:r>
        <w:rPr>
          <w:sz w:val="19"/>
        </w:rPr>
        <w:t>Deutschland, vergleichbare Gesundheitssettings, aber COVID-Spezifik.</w:t>
      </w:r>
    </w:p>
    <w:p>
      <w:r>
        <w:rPr>
          <w:color w:val="5A7D3A"/>
          <w:sz w:val="18"/>
        </w:rPr>
        <w:t>https://pubmed.ncbi.nlm.nih.gov/42797871/</w:t>
      </w:r>
    </w:p>
    <w:p>
      <w:pPr>
        <w:pStyle w:val="Heading2"/>
      </w:pPr>
      <w:r>
        <w:t>Pneumokokkenimpfstoffe (PCV15/PCV20) gegen PCV13 im UK-Impfplan: Studienprotokoll</w:t>
      </w:r>
    </w:p>
    <w:p>
      <w:r>
        <w:rPr>
          <w:i/>
          <w:color w:val="666666"/>
          <w:sz w:val="18"/>
        </w:rPr>
        <w:t>Aslam R et al.  ·  BMJ Open  ·  22.09.2026  ·  PMID 42772879</w:t>
      </w:r>
    </w:p>
    <w:p>
      <w:r>
        <w:t>Randomisierte Studie zur Nicht-Unterlegenheit von PCV15 und PCV20 gegenüber PCV13 bei 600 Säuglingen im britischen 1+1- und 2+1-Impfschema.</w:t>
      </w:r>
    </w:p>
    <w:p>
      <w:r>
        <w:rPr>
          <w:b/>
        </w:rPr>
        <w:t xml:space="preserve">Ergebnis: </w:t>
      </w:r>
      <w:r>
        <w:t>Studienprotokoll ohne Ergebnisse; primärer Endpunkt ist Nicht-Unterlegenheit der PCV13-Serotpyen-spezifischen Antikörperresponses nach PCV15/PCV20 vs. PCV13. Sekundär werden Trägerschaft und Schleimhaut-IgG gemessen. Rekrutierung abgeschlossen (600 Patienten randomisiert).</w:t>
      </w:r>
    </w:p>
    <w:p>
      <w:r>
        <w:rPr>
          <w:b/>
          <w:sz w:val="19"/>
        </w:rPr>
        <w:t xml:space="preserve">Übertragbarkeit: </w:t>
      </w:r>
      <w:r>
        <w:rPr>
          <w:sz w:val="19"/>
        </w:rPr>
        <w:t>UK-Impfplan, europäisches Gesundheitssystem, vergleichbare Versorgungsstruktur.</w:t>
      </w:r>
    </w:p>
    <w:p>
      <w:r>
        <w:rPr>
          <w:color w:val="5A7D3A"/>
          <w:sz w:val="18"/>
        </w:rPr>
        <w:t>https://pubmed.ncbi.nlm.nih.gov/42772879/</w:t>
      </w:r>
    </w:p>
    <w:p>
      <w:pPr>
        <w:pStyle w:val="Heading2"/>
      </w:pPr>
      <w:r>
        <w:t>Adipositas schwächt Antikörperantwort nach Grippeimpfung: deutsche Explorationsstudie</w:t>
      </w:r>
    </w:p>
    <w:p>
      <w:r>
        <w:rPr>
          <w:i/>
          <w:color w:val="666666"/>
          <w:sz w:val="18"/>
        </w:rPr>
        <w:t>Böll S et al.  ·  BMC Immunol  ·  10.09.2026  ·  PMID 42760530</w:t>
      </w:r>
    </w:p>
    <w:p>
      <w:r>
        <w:t>Deutsche Kohortenstudie untersucht, ob Adipositas die humorale und zelluläre Immunantwort nach Influenzaimpfung beeinträchtigt.</w:t>
      </w:r>
    </w:p>
    <w:p>
      <w:r>
        <w:rPr>
          <w:b/>
        </w:rPr>
        <w:t xml:space="preserve">Ergebnis: </w:t>
      </w:r>
      <w:r>
        <w:t>Kleine Stichprobe (n=25: 18 normalgewichtig, 7 adipös) über 9 Monate. Nach Impfung stiegen Antikörpertiter in beiden Gruppen an und blieben erhöht. Bei normalgewichtigen Personen unterschieden sich alle vier Antikörper signifikant über die Besuche; bei adipösen Personen nur zwei. Adipöse zeigten abnehmende Treg-Anteile (nicht signifikant) und keine klaren Gruppenunterschiede in T-Zell-Zahl. Autoren betonen, dass die Stichprobengröße explorativ ist; größere Studien sind notwendig.</w:t>
      </w:r>
    </w:p>
    <w:p>
      <w:r>
        <w:rPr>
          <w:b/>
          <w:sz w:val="19"/>
        </w:rPr>
        <w:t xml:space="preserve">Übertragbarkeit: </w:t>
      </w:r>
      <w:r>
        <w:rPr>
          <w:sz w:val="19"/>
        </w:rPr>
        <w:t>Deutsche Klinikdaten, aber kleine Stichprobe – Ergebnisse sind vorläufig.</w:t>
      </w:r>
    </w:p>
    <w:p>
      <w:r>
        <w:rPr>
          <w:color w:val="5A7D3A"/>
          <w:sz w:val="18"/>
        </w:rPr>
        <w:t>https://pubmed.ncbi.nlm.nih.gov/42760530/</w:t>
      </w:r>
    </w:p>
    <w:p>
      <w:pPr>
        <w:pStyle w:val="Heading1"/>
      </w:pPr>
      <w:r>
        <w:t>Aufgenommen am 30.09.2026</w:t>
      </w:r>
    </w:p>
    <w:p>
      <w:pPr>
        <w:pStyle w:val="Heading2"/>
      </w:pPr>
      <w:r>
        <w:t>Psychologische Treiber der Impfskepsis gegen HPV in Polen prägen Kampagnen</w:t>
      </w:r>
    </w:p>
    <w:p>
      <w:r>
        <w:rPr>
          <w:i/>
          <w:color w:val="666666"/>
          <w:sz w:val="18"/>
        </w:rPr>
        <w:t>Siebielec J et al.  ·  Front Public Health  ·  14.09.2026  ·  PMID 42807115</w:t>
      </w:r>
    </w:p>
    <w:p>
      <w:r>
        <w:t>Qualitative Analyse von 4.440 Facebook-Einträgen zum HPV-Impfen zwischen Oktober 2020 und Oktober 2023 unter polnischen Sprechern mit Kodierung nach dem 5C-Modell (Confidence, Complacency, Constraints, Calculation, Collective responsibility).</w:t>
      </w:r>
    </w:p>
    <w:p>
      <w:r>
        <w:rPr>
          <w:b/>
        </w:rPr>
        <w:t xml:space="preserve">Ergebnis: </w:t>
      </w:r>
      <w:r>
        <w:t>51 % aller Einträge erschienen 2023 (Programmstart). 42 % ließen sich Kategorien zuordnen; Calculation (60 %) und Confidence (47 %) am häufigsten, in 13 % beide. Psychologische Faktoren: extensive Informationssuche, Verschwörungstheorie-Anfälligkeit, Vertrauensfragen zu Impfstoff und Behörden. Facebook-Kampagnen sollten diverse psychologische Profile ansprechen und zuverlässige Information verständlich darstellen.</w:t>
      </w:r>
    </w:p>
    <w:p>
      <w:r>
        <w:rPr>
          <w:b/>
          <w:sz w:val="19"/>
        </w:rPr>
        <w:t xml:space="preserve">Übertragbarkeit: </w:t>
      </w:r>
      <w:r>
        <w:rPr>
          <w:sz w:val="19"/>
        </w:rPr>
        <w:t>Qualitative Erkenntnis aus Europa (Polen), übertragbar für deutschsprachige Impf­kommunikation.</w:t>
      </w:r>
    </w:p>
    <w:p>
      <w:r>
        <w:rPr>
          <w:color w:val="5A7D3A"/>
          <w:sz w:val="18"/>
        </w:rPr>
        <w:t>https://pubmed.ncbi.nlm.nih.gov/42807115/</w:t>
      </w:r>
    </w:p>
    <w:p>
      <w:pPr>
        <w:pStyle w:val="Heading2"/>
      </w:pPr>
      <w:r>
        <w:t>BCG-Impfung senkt Tuberkulose-Risiko bei bangladeschischen Kindern um 57 %</w:t>
      </w:r>
    </w:p>
    <w:p>
      <w:r>
        <w:rPr>
          <w:i/>
          <w:color w:val="666666"/>
          <w:sz w:val="18"/>
        </w:rPr>
        <w:t>Rahman T et al.  ·  BMC Infect Dis  ·  27.07.2026  ·  PMID 42806320</w:t>
      </w:r>
    </w:p>
    <w:p>
      <w:r>
        <w:t>Gemeindebasierte Fall-Kontroll-Studie bei 207 TB-Fällen und 207 Kontrollen (2–14 Jahre) in Moulavibazar, Bangladesch, Januar–April 2023 mit multivariater logistischer Regression.</w:t>
      </w:r>
    </w:p>
    <w:p>
      <w:r>
        <w:rPr>
          <w:b/>
        </w:rPr>
        <w:t xml:space="preserve">Ergebnis: </w:t>
      </w:r>
      <w:r>
        <w:t>BCG-Impfung: aOR 0,43 (95%-KI 0,20–0,93), Schutz 57 %. Zusätzliche Risikofaktoren: Adoleszenz (11–14 vs. 2–5 Jahre: aOR 2,53), männliches Geschlecht (aOR 1,79), TB in Familie &lt;6 Monate (aOR 1,92). Random-Forest-Modell: Accuracy 71,6 %, AUC 0,74. Impfung bleibt zentral für Kindertuberkulose-Kontrolle.</w:t>
      </w:r>
    </w:p>
    <w:p>
      <w:r>
        <w:rPr>
          <w:b/>
          <w:sz w:val="19"/>
        </w:rPr>
        <w:t xml:space="preserve">Übertragbarkeit: </w:t>
      </w:r>
      <w:r>
        <w:rPr>
          <w:sz w:val="19"/>
        </w:rPr>
        <w:t>Südasien mit epidemiologischen Daten, aber hohe Transmissionslage dort anders als Deutschland.</w:t>
      </w:r>
    </w:p>
    <w:p>
      <w:r>
        <w:rPr>
          <w:color w:val="5A7D3A"/>
          <w:sz w:val="18"/>
        </w:rPr>
        <w:t>https://pubmed.ncbi.nlm.nih.gov/42806320/</w:t>
      </w:r>
    </w:p>
    <w:p>
      <w:pPr>
        <w:pStyle w:val="Heading2"/>
      </w:pPr>
      <w:r>
        <w:t>Masernherd-Schwelle in Florida durch Impfquoten unterschritten – Risiko rapider Ausbrüche</w:t>
      </w:r>
    </w:p>
    <w:p>
      <w:r>
        <w:rPr>
          <w:i/>
          <w:color w:val="666666"/>
          <w:sz w:val="18"/>
        </w:rPr>
        <w:t>Oveson A et al.  ·  Proc Natl Acad Sci U S A  ·  06.10.2026  ·  PMID 42804627</w:t>
      </w:r>
    </w:p>
    <w:p>
      <w:r>
        <w:t>Altersstrukturiertes Masern-Transmissionsmodell für Florida kalibriert mit Daten des Gaines-County-Ausbruchs 2025, untersucht Effekt von Aufhebung schulischer Impfpflicht.</w:t>
      </w:r>
    </w:p>
    <w:p>
      <w:r>
        <w:rPr>
          <w:b/>
        </w:rPr>
        <w:t xml:space="preserve">Ergebnis: </w:t>
      </w:r>
      <w:r>
        <w:t>Aktuelle Masern-Mumps-Röteln-Quote in Florida unterschreitet bereits die Herdenimmunitätsschwelle. Modellierte Quoten­rückgänge nach Aufhebung der Schulanforderung projizieren Ausbruchsgrößen wie vor Impfära, mit signifikanter Kindersterblichkeit in fünf Jahren. Sensitivitätsanalyse: kleine Quoten­rückgänge führen zu disproportional großen Ausbruchszunahmen, besonders bei starker Mischung unter Kindern.</w:t>
      </w:r>
    </w:p>
    <w:p>
      <w:r>
        <w:rPr>
          <w:b/>
          <w:sz w:val="19"/>
        </w:rPr>
        <w:t xml:space="preserve">Übertragbarkeit: </w:t>
      </w:r>
      <w:r>
        <w:rPr>
          <w:sz w:val="19"/>
        </w:rPr>
        <w:t>USA, epidemiologisches Modell – Mechanismus übertragbar auf deutsche Risiko­szenarios.</w:t>
      </w:r>
    </w:p>
    <w:p>
      <w:r>
        <w:rPr>
          <w:color w:val="5A7D3A"/>
          <w:sz w:val="18"/>
        </w:rPr>
        <w:t>https://pubmed.ncbi.nlm.nih.gov/42804627/</w:t>
      </w:r>
    </w:p>
    <w:p>
      <w:pPr>
        <w:pStyle w:val="Heading2"/>
      </w:pPr>
      <w:r>
        <w:t>RSV-Hospitalisierungen bei Kindern sinken nach gezieltem Nirsevimab-Einsatz</w:t>
      </w:r>
    </w:p>
    <w:p>
      <w:r>
        <w:rPr>
          <w:i/>
          <w:color w:val="666666"/>
          <w:sz w:val="18"/>
        </w:rPr>
        <w:t>Attaianese F et al.  ·  Int J Infect Dis  ·  27.08.2026  ·  PMID 42660409</w:t>
      </w:r>
    </w:p>
    <w:p>
      <w:r>
        <w:t>Italienische Studie zu RSV-Infektionen bei Kindern &lt;18 Jahren über sechs Saisons mit Analyse der Auswirkung regionaler Nirsevimab-Impfstrategien zwischen Januar 2019 und März 2025.</w:t>
      </w:r>
    </w:p>
    <w:p>
      <w:r>
        <w:rPr>
          <w:b/>
        </w:rPr>
        <w:t xml:space="preserve">Ergebnis: </w:t>
      </w:r>
      <w:r>
        <w:t>In der Saison 2024–2025 sanken RSV-Hospitalisierungen um insgesamt 43,6 %. Mit breiten Zugangs­kriterien und frühem Einsatz (Gruppe B) betrug das Reduktionsverhältnis 0,28 (95%-KI 0,22–0,36), mit einzelnem Zentrum (Gruppe F) 0,24. Beschränktere Strategien (Gruppen C–E) zeigten moderatere Rückgänge (Quoten 0,58–0,70). Die Studie bestätigt zeitliche Assoziation zwischen Rollout und verringerter Hospitalisierung.</w:t>
      </w:r>
    </w:p>
    <w:p>
      <w:r>
        <w:rPr>
          <w:b/>
          <w:sz w:val="19"/>
        </w:rPr>
        <w:t xml:space="preserve">Übertragbarkeit: </w:t>
      </w:r>
      <w:r>
        <w:rPr>
          <w:sz w:val="19"/>
        </w:rPr>
        <w:t>Italien mit vergleichbaren Krankenhausdaten und Meldesystemen.</w:t>
      </w:r>
    </w:p>
    <w:p>
      <w:r>
        <w:rPr>
          <w:color w:val="5A7D3A"/>
          <w:sz w:val="18"/>
        </w:rPr>
        <w:t>https://pubmed.ncbi.nlm.nih.gov/42660409/</w:t>
      </w:r>
    </w:p>
    <w:p>
      <w:pPr>
        <w:pStyle w:val="Heading2"/>
      </w:pPr>
      <w:r>
        <w:t>Nirsevimab und RSV-Mutterimpfung schützen Säuglinge hocheffektiv</w:t>
      </w:r>
    </w:p>
    <w:p>
      <w:r>
        <w:rPr>
          <w:i/>
          <w:color w:val="666666"/>
          <w:sz w:val="18"/>
        </w:rPr>
        <w:t>Treston B et al.  ·  Int J Infect Dis  ·  06.08.2026  ·  PMID 42562126</w:t>
      </w:r>
    </w:p>
    <w:p>
      <w:r>
        <w:t>Test-negativ Fall-Kontroll-Studie über zwei RSV-Schutzstrategien auf der irischen Insel in der Saison 2024/25 bei Säuglingen &lt;6 Monaten mit akuter Atemwegserkrankung.</w:t>
      </w:r>
    </w:p>
    <w:p>
      <w:r>
        <w:rPr>
          <w:b/>
        </w:rPr>
        <w:t xml:space="preserve">Ergebnis: </w:t>
      </w:r>
      <w:r>
        <w:t>Nirsevimab-Effektivität gegen Hospitalisierung 90,7 % (95%-KI 80,7–95,8) in der Republik Irland bei 83 % Abdeckung; RSVpreF-Effektivität 83,9 % (95%-KI 41,5–96,6) in Nordirland bei 30 % Abdeckung. Notfall­ambulanz-Bronchiolitis-Besuche sanken um 52 % (ROI) und 37 % (NI). Unterschiedliche Abdeckung führte zu unterschiedlichem Bevölkerungseffekt.</w:t>
      </w:r>
    </w:p>
    <w:p>
      <w:r>
        <w:rPr>
          <w:b/>
          <w:sz w:val="19"/>
        </w:rPr>
        <w:t xml:space="preserve">Übertragbarkeit: </w:t>
      </w:r>
      <w:r>
        <w:rPr>
          <w:sz w:val="19"/>
        </w:rPr>
        <w:t>UK-System mit Notfalldaten, aber Strategie-Unterschiede zeigen Implementierungs­priorität.</w:t>
      </w:r>
    </w:p>
    <w:p>
      <w:r>
        <w:rPr>
          <w:color w:val="5A7D3A"/>
          <w:sz w:val="18"/>
        </w:rPr>
        <w:t>https://pubmed.ncbi.nlm.nih.gov/42562126/</w:t>
      </w:r>
    </w:p>
    <w:p>
      <w:pPr>
        <w:pStyle w:val="Heading2"/>
      </w:pPr>
      <w:r>
        <w:t>Keine erhöhte Notfall-Hospitalisierungsrate durch Impfung bei immunologischen Erkrankungen</w:t>
      </w:r>
    </w:p>
    <w:p>
      <w:r>
        <w:rPr>
          <w:i/>
          <w:color w:val="666666"/>
          <w:sz w:val="18"/>
        </w:rPr>
        <w:t>Meiszl K et al.  ·  Int J Infect Dis  ·  25.07.2026  ·  PMID 42501818</w:t>
      </w:r>
    </w:p>
    <w:p>
      <w:r>
        <w:t>Deutsche Register-Kohortenstudie mit sechs Kausalziel-Emulatoren zu Pneumokokken- und Influenza-Impfung bei 432.768 Patienten mit Multipler Sklerose, entzündlich-rheumatischen oder Darmerkrankungen zwischen 2013 und 2019.</w:t>
      </w:r>
    </w:p>
    <w:p>
      <w:r>
        <w:rPr>
          <w:b/>
        </w:rPr>
        <w:t xml:space="preserve">Ergebnis: </w:t>
      </w:r>
      <w:r>
        <w:t>Pneumokokken: HR 0,91 (MS), 0,60 (rheumatisch), 0,89 (IBD). Influenza: HR 0,94 (MS), 0,79 (rheumatisch), 0,83 (IBD) – keine erhöhte Verschlechterung, teilweise Risikoreduktion. Modell-Kalibrierung adequate (Hosmer-Lemeshow-Test). Befund stützt Sicherheit der Immunisierung in diesen Populationen.</w:t>
      </w:r>
    </w:p>
    <w:p>
      <w:r>
        <w:rPr>
          <w:b/>
          <w:sz w:val="19"/>
        </w:rPr>
        <w:t xml:space="preserve">Übertragbarkeit: </w:t>
      </w:r>
      <w:r>
        <w:rPr>
          <w:sz w:val="19"/>
        </w:rPr>
        <w:t>Deutsche Kassenabrechnung (BARMER), direkter Bevölkerungsbezug.</w:t>
      </w:r>
    </w:p>
    <w:p>
      <w:r>
        <w:rPr>
          <w:color w:val="5A7D3A"/>
          <w:sz w:val="18"/>
        </w:rPr>
        <w:t>https://pubmed.ncbi.nlm.nih.gov/42501818/</w:t>
      </w:r>
    </w:p>
    <w:p>
      <w:pPr>
        <w:pStyle w:val="Heading1"/>
      </w:pPr>
      <w:r>
        <w:t>Aufgenommen am 29.09.2026</w:t>
      </w:r>
    </w:p>
    <w:p>
      <w:pPr>
        <w:pStyle w:val="Heading2"/>
      </w:pPr>
      <w:r>
        <w:t>Wirksamkeit der Herpes-zoster-Impfung bei entzündlichen Darmerkrankungen</w:t>
      </w:r>
    </w:p>
    <w:p>
      <w:r>
        <w:rPr>
          <w:i/>
          <w:color w:val="666666"/>
          <w:sz w:val="18"/>
        </w:rPr>
        <w:t>Humayun M et al.  ·  Hum Vaccin Immunother  ·  28.09.2026  ·  PMID 42804491</w:t>
      </w:r>
    </w:p>
    <w:p>
      <w:r>
        <w:t>Matched-cohort und selbstkontrollierte Fall-Serie bei 8.485 IBD-Patienten ≥18 Jahren in Kaiser-Permanente Southern California (2018–2024) zur Effektivität und Sicherheit der rekombinanten Zoster-Impfung (RZV).</w:t>
      </w:r>
    </w:p>
    <w:p>
      <w:r>
        <w:rPr>
          <w:b/>
        </w:rPr>
        <w:t xml:space="preserve">Ergebnis: </w:t>
      </w:r>
      <w:r>
        <w:t>VE gegen Herpes zoster nach 2 RZV-Dosen: 65,4% (95%-KI 40,6–79,9%); in Colitis-Patienten 62,7%, in Morbus-Crohn-Patienten 70,2%. IBD-Schübe im 30-Tage-Fenster nach Impfung (RR 0,80) nicht erhöht.</w:t>
      </w:r>
    </w:p>
    <w:p>
      <w:r>
        <w:rPr>
          <w:b/>
          <w:sz w:val="19"/>
        </w:rPr>
        <w:t xml:space="preserve">Übertragbarkeit: </w:t>
      </w:r>
      <w:r>
        <w:rPr>
          <w:sz w:val="19"/>
        </w:rPr>
        <w:t>USA-Krankenversicherungsdaten, ähnliche Ausgangslage, aber starke Fragmentation möglich – für deutsche Versorgung mit Krankenkassen-Daten parallel machbar</w:t>
      </w:r>
    </w:p>
    <w:p>
      <w:r>
        <w:rPr>
          <w:color w:val="5A7D3A"/>
          <w:sz w:val="18"/>
        </w:rPr>
        <w:t>https://pubmed.ncbi.nlm.nih.gov/42804491/</w:t>
      </w:r>
    </w:p>
    <w:p>
      <w:pPr>
        <w:pStyle w:val="Heading2"/>
      </w:pPr>
      <w:r>
        <w:t>Schutzwirkung Mumps-haltiger Impfstoffe bei Kindern unter 15 Jahren in China</w:t>
      </w:r>
    </w:p>
    <w:p>
      <w:r>
        <w:rPr>
          <w:i/>
          <w:color w:val="666666"/>
          <w:sz w:val="18"/>
        </w:rPr>
        <w:t>Liu H et al.  ·  PLoS One  ·  28.09.2026  ·  PMID 42804452</w:t>
      </w:r>
    </w:p>
    <w:p>
      <w:r>
        <w:t>Matched-case-control-Studie bei 1.405 klinisch oder laborbestätigten Mumps-Fällen und 2.810 Kontrollen (2021–2025) in Taizhou, China, zur Effektivität Mumps-haltiger Impfstoffe nach Schulalter und Impfintervallen.</w:t>
      </w:r>
    </w:p>
    <w:p>
      <w:r>
        <w:rPr>
          <w:b/>
        </w:rPr>
        <w:t xml:space="preserve">Ergebnis: </w:t>
      </w:r>
      <w:r>
        <w:t>Gesamtimpfeffektivität nach ≥1 Dosis: 75,7% (95%-KI 64,8–83,2%). VE stieg mit Alter: 3–5 Jahre 55,2%, 6–11 Jahre 86,7%, ≥12 Jahre 92,9%. Einfach-Dosis-Regime: VE 80,4%; Zwei-Dosis-Periode zeigt VE nicht signifikant (durch hohe Coverage und wenige Ungeimpfte verzerrt).</w:t>
      </w:r>
    </w:p>
    <w:p>
      <w:r>
        <w:rPr>
          <w:b/>
          <w:sz w:val="19"/>
        </w:rPr>
        <w:t xml:space="preserve">Übertragbarkeit: </w:t>
      </w:r>
      <w:r>
        <w:rPr>
          <w:sz w:val="19"/>
        </w:rPr>
        <w:t>China, aber Impfregister-Daten und standardisierte Falldef. übertragbar – Frage zur optimalen Dosierung international relevant</w:t>
      </w:r>
    </w:p>
    <w:p>
      <w:r>
        <w:rPr>
          <w:color w:val="5A7D3A"/>
          <w:sz w:val="18"/>
        </w:rPr>
        <w:t>https://pubmed.ncbi.nlm.nih.gov/42804452/</w:t>
      </w:r>
    </w:p>
    <w:p>
      <w:pPr>
        <w:pStyle w:val="Heading2"/>
      </w:pPr>
      <w:r>
        <w:t>Impfquoten bei HPV-Geimpften sinken bei niedriger Schulbildung und Einkommen der Eltern</w:t>
      </w:r>
    </w:p>
    <w:p>
      <w:r>
        <w:rPr>
          <w:i/>
          <w:color w:val="666666"/>
          <w:sz w:val="18"/>
        </w:rPr>
        <w:t>Appelqvist E et al.  ·  Vaccine  ·  24.10.2026  ·  PMID 42727401</w:t>
      </w:r>
    </w:p>
    <w:p>
      <w:r>
        <w:t>Schwedische Registerstudie mit 492.997 Mädchen (Jahrgänge 2002–2010) zu Faktoren der HPV-Impfquote im Schulprogramm und Catch-up-Impfungen bis Alter 19 Jahren.</w:t>
      </w:r>
    </w:p>
    <w:p>
      <w:r>
        <w:rPr>
          <w:b/>
        </w:rPr>
        <w:t xml:space="preserve">Ergebnis: </w:t>
      </w:r>
      <w:r>
        <w:t>Eltern mit niedrigem Bildungsabschluss (OR 1,3) oder niedrigem Einkommen (OR 1,9) hatten geringere Impfquoten; im Ausland geborene Mädchen oder mit im Ausland geborenen Eltern zeigten OR 1,7. Die meisten ungeimpften Mädchen erhielten später keine Catch-up-Impfung, unabhängig von Schuljahr.</w:t>
      </w:r>
    </w:p>
    <w:p>
      <w:r>
        <w:rPr>
          <w:b/>
          <w:sz w:val="19"/>
        </w:rPr>
        <w:t xml:space="preserve">Übertragbarkeit: </w:t>
      </w:r>
      <w:r>
        <w:rPr>
          <w:sz w:val="19"/>
        </w:rPr>
        <w:t>Schweden, Impfregister und Schulimpfprogramm, Hinweis auf Ungleichheitsachsen auch in deutschen Bundesländern ohne Register</w:t>
      </w:r>
    </w:p>
    <w:p>
      <w:r>
        <w:rPr>
          <w:color w:val="5A7D3A"/>
          <w:sz w:val="18"/>
        </w:rPr>
        <w:t>https://pubmed.ncbi.nlm.nih.gov/42727401/</w:t>
      </w:r>
    </w:p>
    <w:p>
      <w:pPr>
        <w:pStyle w:val="Heading2"/>
      </w:pPr>
      <w:r>
        <w:t>Wirksamkeit und Waning der vierten COVID-19-mRNA-Impfdosis gegen Hospitalisierung</w:t>
      </w:r>
    </w:p>
    <w:p>
      <w:r>
        <w:rPr>
          <w:i/>
          <w:color w:val="666666"/>
          <w:sz w:val="18"/>
        </w:rPr>
        <w:t>Li X et al.  ·  J Infect  ·  05.08.2026  ·  PMID 42556476</w:t>
      </w:r>
    </w:p>
    <w:p>
      <w:r>
        <w:t>Multizentrische Kohortenstudie aus UK, Niederlanden und Spanien (DARWIN EU) an 975.496 geimpften Personen ab 12 Jahren zur Effektivität der vierten Dosis gegen SARS-CoV-2-bedingte Hospitalisierung und Tod.</w:t>
      </w:r>
    </w:p>
    <w:p>
      <w:r>
        <w:rPr>
          <w:b/>
        </w:rPr>
        <w:t xml:space="preserve">Ergebnis: </w:t>
      </w:r>
      <w:r>
        <w:t>VE vierte vs. dritte Dosis gegen Tod 30% (95%-KI 9–46); gegen Hospitalisierung 26% (Spanien) bis 46% (Niederlande). Waning begann bei 4–8 Wochen. Periodische Auffrischungen wurden empfohlen.</w:t>
      </w:r>
    </w:p>
    <w:p>
      <w:r>
        <w:rPr>
          <w:b/>
          <w:sz w:val="19"/>
        </w:rPr>
        <w:t xml:space="preserve">Übertragbarkeit: </w:t>
      </w:r>
      <w:r>
        <w:rPr>
          <w:sz w:val="19"/>
        </w:rPr>
        <w:t>Niederlande, Spanien, UK mit kompletten elektronischen Gesundheitsaufzeichnungen, übertragbar auf deutsche Versorgung</w:t>
      </w:r>
    </w:p>
    <w:p>
      <w:r>
        <w:rPr>
          <w:color w:val="5A7D3A"/>
          <w:sz w:val="18"/>
        </w:rPr>
        <w:t>https://pubmed.ncbi.nlm.nih.gov/42556476/</w:t>
      </w:r>
    </w:p>
    <w:p>
      <w:pPr>
        <w:pStyle w:val="Heading2"/>
      </w:pPr>
      <w:r>
        <w:t>Influenza-Impfquote und Impfskepsis bei Patienten mit Lebererkrankung in Griechenland</w:t>
      </w:r>
    </w:p>
    <w:p>
      <w:r>
        <w:rPr>
          <w:i/>
          <w:color w:val="666666"/>
          <w:sz w:val="18"/>
        </w:rPr>
        <w:t>Dafnou P et al.  ·  Gastroenterol Nurs  ·  21.07.2026  ·  PMID 42484114</w:t>
      </w:r>
    </w:p>
    <w:p>
      <w:r>
        <w:t>Querschnittstudie bei 152 Patienten mit Lebererkrankung in Griechenland (2025) zur Influenza-Impfquote, Einstellungen und Einflussfaktoren.</w:t>
      </w:r>
    </w:p>
    <w:p>
      <w:r>
        <w:rPr>
          <w:b/>
        </w:rPr>
        <w:t xml:space="preserve">Ergebnis: </w:t>
      </w:r>
      <w:r>
        <w:t>58,6% erhielten Influenza-Impfung. Prädiktoren der Impfung: höheres Alter (OR 1,07), vorangegangene Pneumokokken-Impfung (OR 17,98), COVID-19-Impfung (OR 5,77). Etwa die Hälfte ließen sich jährlich impfen. Kliniker als vertrauenswürdige Informanten könnten Quote heben.</w:t>
      </w:r>
    </w:p>
    <w:p>
      <w:r>
        <w:rPr>
          <w:b/>
          <w:sz w:val="19"/>
        </w:rPr>
        <w:t xml:space="preserve">Übertragbarkeit: </w:t>
      </w:r>
      <w:r>
        <w:rPr>
          <w:sz w:val="19"/>
        </w:rPr>
        <w:t>Griechenland, ähnliche Gesundheitssysteme, Fokus auf vulnerable Gruppen und Beratung auch für Deutschland relevant</w:t>
      </w:r>
    </w:p>
    <w:p>
      <w:r>
        <w:rPr>
          <w:color w:val="5A7D3A"/>
          <w:sz w:val="18"/>
        </w:rPr>
        <w:t>https://pubmed.ncbi.nlm.nih.gov/42484114/</w:t>
      </w:r>
    </w:p>
    <w:p>
      <w:pPr>
        <w:pStyle w:val="Heading1"/>
      </w:pPr>
      <w:r>
        <w:t>Aufgenommen am 28.09.2026</w:t>
      </w:r>
    </w:p>
    <w:p>
      <w:pPr>
        <w:pStyle w:val="Heading2"/>
      </w:pPr>
      <w:r>
        <w:t>MMR-Impfung und idiopathische thrombozytopenische Purpura: Risiko nach erster und zweiter Dosis bei englischen Kindern</w:t>
      </w:r>
    </w:p>
    <w:p>
      <w:r>
        <w:rPr>
          <w:i/>
          <w:color w:val="666666"/>
          <w:sz w:val="18"/>
        </w:rPr>
        <w:t>Andrews N et al.  ·  Vaccine  ·  24.10.2026  ·  PMID 42771940</w:t>
      </w:r>
    </w:p>
    <w:p>
      <w:r>
        <w:t>Retrospektive Kohortenstudie anhand von verknüpften Krankenhausdaten zu Blutungskomplikationen nach MMR-Impfung bei 3,9 Millionen Kindern in England 2000-2019.</w:t>
      </w:r>
    </w:p>
    <w:p>
      <w:r>
        <w:rPr>
          <w:b/>
        </w:rPr>
        <w:t xml:space="preserve">Ergebnis: </w:t>
      </w:r>
      <w:r>
        <w:t>Nach erster MMR-Dosis erhöhtes ITP-Risiko (relatives Risiko 2,38; 95%-KI 2,12–2,67), entsprechend 1 Fall pro 42.900 Dosen. Nach zweiter Dosis kein erhöhtes Risiko (RR 0,96; 95%-KI 0,81–1,13). Kinder mit ITP nach Dosis 1 zeigten kein zusätzliches Risiko nach Dosis 2; eine Wiederimpfung ist sicher.</w:t>
      </w:r>
    </w:p>
    <w:p>
      <w:r>
        <w:rPr>
          <w:b/>
          <w:sz w:val="19"/>
        </w:rPr>
        <w:t xml:space="preserve">Übertragbarkeit: </w:t>
      </w:r>
      <w:r>
        <w:rPr>
          <w:sz w:val="19"/>
        </w:rPr>
        <w:t>Englische Klinikdaten, vergleichbare Dokumentationspflichten mit Deutschland.</w:t>
      </w:r>
    </w:p>
    <w:p>
      <w:r>
        <w:rPr>
          <w:color w:val="5A7D3A"/>
          <w:sz w:val="18"/>
        </w:rPr>
        <w:t>https://pubmed.ncbi.nlm.nih.gov/42771940/</w:t>
      </w:r>
    </w:p>
    <w:p>
      <w:pPr>
        <w:pStyle w:val="Heading2"/>
      </w:pPr>
      <w:r>
        <w:t>HPV-Impfquote und Ungleichheit in Süditalien: Sozioökonomische Faktoren und Organisationsbarrieren</w:t>
      </w:r>
    </w:p>
    <w:p>
      <w:r>
        <w:rPr>
          <w:i/>
          <w:color w:val="666666"/>
          <w:sz w:val="18"/>
        </w:rPr>
        <w:t>Mercogliano M et al.  ·  Vaccine  ·  24.10.2026  ·  PMID 42763966</w:t>
      </w:r>
    </w:p>
    <w:p>
      <w:r>
        <w:t>Bevölkerungsbasierte Längsschnittanalyse mit Impfregister-Daten aus Kampanien 2006–2023 zu Einflussfaktoren auf HPV-Impfquoten bei Mädchen und Jungen.</w:t>
      </w:r>
    </w:p>
    <w:p>
      <w:r>
        <w:rPr>
          <w:b/>
        </w:rPr>
        <w:t xml:space="preserve">Ergebnis: </w:t>
      </w:r>
      <w:r>
        <w:t>Ein-Dosis-Quote Mädchen max. 68,5%, Jungen max. 41,1%. Vollständige Immunisierung Mädchen 62,2%, Jungen 29,9%. Sozioökonomische Deprivation senkte Impfquoten bei Jungen (Koeffizient −1,56 für Eine-Dosis-Quote), nicht aber bei routiner Impfung von Mädchen. Nachholimpfung stark von Deprivation betroffen. Impfdichtevariation über Bezirke hinweg unabhängig von Zentrenanzahl.</w:t>
      </w:r>
    </w:p>
    <w:p>
      <w:r>
        <w:rPr>
          <w:b/>
          <w:sz w:val="19"/>
        </w:rPr>
        <w:t xml:space="preserve">Übertragbarkeit: </w:t>
      </w:r>
      <w:r>
        <w:rPr>
          <w:sz w:val="19"/>
        </w:rPr>
        <w:t>Italien, vergleichbares Versicherungssystem und Impfprogramm mit Deutschland.</w:t>
      </w:r>
    </w:p>
    <w:p>
      <w:r>
        <w:rPr>
          <w:color w:val="5A7D3A"/>
          <w:sz w:val="18"/>
        </w:rPr>
        <w:t>https://pubmed.ncbi.nlm.nih.gov/42763966/</w:t>
      </w:r>
    </w:p>
    <w:p>
      <w:pPr>
        <w:pStyle w:val="Heading2"/>
      </w:pPr>
      <w:r>
        <w:t>Impfplan-Adhärenz in Deutschland: Komplexität im 1. Lebensjahr senkt Quote</w:t>
      </w:r>
    </w:p>
    <w:p>
      <w:r>
        <w:rPr>
          <w:i/>
          <w:color w:val="666666"/>
          <w:sz w:val="18"/>
        </w:rPr>
        <w:t>Arede M et al.  ·  Vaccine  ·  24.10.2026  ·  PMID 42759250</w:t>
      </w:r>
    </w:p>
    <w:p>
      <w:r>
        <w:t>Querschnitts- und Längsschnittanalyse aus KUNO-Kids-Studie (Bayern 2015–2020) zur Erreichung und zeitgerechten Durchführung des deutschen Impfkalenders bei 2.044 Kindern.</w:t>
      </w:r>
    </w:p>
    <w:p>
      <w:r>
        <w:rPr>
          <w:b/>
        </w:rPr>
        <w:t xml:space="preserve">Ergebnis: </w:t>
      </w:r>
      <w:r>
        <w:t>Bei 24 Monaten: Hexavalent-Impfquoten 71–76%, MMR 86–87%; keine Vakzine erreichte 90–95%-Ziel. Vollständige Kalender-Adhärenz bei 50–55% mit 2 Jahren, 59–76% mit 4 Jahren. Hexavalent-Quote bei 4 Jahren nur 84%, Nachholimpfung geringer als für MMR. Komplexe Mehrfach-Dosis-Schemata im 1. Lebensjahr assoziiert mit verzögerter Adhärenz.</w:t>
      </w:r>
    </w:p>
    <w:p>
      <w:r>
        <w:rPr>
          <w:b/>
          <w:sz w:val="19"/>
        </w:rPr>
        <w:t xml:space="preserve">Übertragbarkeit: </w:t>
      </w:r>
      <w:r>
        <w:rPr>
          <w:sz w:val="19"/>
        </w:rPr>
        <w:t>Deutsche Daten direkt, Versorgungsforschung im eigenen Gesundheitssystem.</w:t>
      </w:r>
    </w:p>
    <w:p>
      <w:r>
        <w:rPr>
          <w:color w:val="5A7D3A"/>
          <w:sz w:val="18"/>
        </w:rPr>
        <w:t>https://pubmed.ncbi.nlm.nih.gov/42759250/</w:t>
      </w:r>
    </w:p>
    <w:p>
      <w:pPr>
        <w:pStyle w:val="Heading2"/>
      </w:pPr>
      <w:r>
        <w:t>Grippe-Impfquoten senken Sterblichkeit älterer Europäer messbar</w:t>
      </w:r>
    </w:p>
    <w:p>
      <w:r>
        <w:rPr>
          <w:i/>
          <w:color w:val="666666"/>
          <w:sz w:val="18"/>
        </w:rPr>
        <w:t>Zhou B et al.  ·  Vaccine  ·  24.10.2026  ·  PMID 42759249</w:t>
      </w:r>
    </w:p>
    <w:p>
      <w:r>
        <w:t>Ökologische Panel-Analyse mit Surveys (SHARE) und GBD-Daten aus 21 EU/EEA-Ländern, Schweiz und Israel (2019/20 und 2021/22) zur Assoziation von Impfquoten mit Mortalität und Morbidität.</w:t>
      </w:r>
    </w:p>
    <w:p>
      <w:r>
        <w:rPr>
          <w:b/>
        </w:rPr>
        <w:t xml:space="preserve">Ergebnis: </w:t>
      </w:r>
      <w:r>
        <w:t>Mittlere Impfquote stieg von 34,5% auf 47,6%, blieb unter 75%-Ziel. Pro 1%-Punkt höhere Impfquote: 14,9 weniger Todesfälle/100.000 Ältere (95%-KI −22,8 bis −7,1), 328,1 weniger Gesamt-DALYs/100.000 (95%-KI −480,4 bis −175,8), 6,3 weniger LRTI-DALYs/100.000. Assoziationen auch für Diabetes-DALYs (−12,1).</w:t>
      </w:r>
    </w:p>
    <w:p>
      <w:r>
        <w:rPr>
          <w:b/>
          <w:sz w:val="19"/>
        </w:rPr>
        <w:t xml:space="preserve">Übertragbarkeit: </w:t>
      </w:r>
      <w:r>
        <w:rPr>
          <w:sz w:val="19"/>
        </w:rPr>
        <w:t>21 europäische Länder, vergleichbare Gesundheitssysteme und Erfassungsmethoden.</w:t>
      </w:r>
    </w:p>
    <w:p>
      <w:r>
        <w:rPr>
          <w:color w:val="5A7D3A"/>
          <w:sz w:val="18"/>
        </w:rPr>
        <w:t>https://pubmed.ncbi.nlm.nih.gov/42759249/</w:t>
      </w:r>
    </w:p>
    <w:p>
      <w:pPr>
        <w:pStyle w:val="Heading2"/>
      </w:pPr>
      <w:r>
        <w:t>Schulische HPV-Impfaufklärung hebt Impfquoten: Was wirkt wirklich?</w:t>
      </w:r>
    </w:p>
    <w:p>
      <w:r>
        <w:rPr>
          <w:i/>
          <w:color w:val="666666"/>
          <w:sz w:val="18"/>
        </w:rPr>
        <w:t>Munoz A et al.  ·  Vaccine  ·  24.10.2026  ·  PMID 42753385</w:t>
      </w:r>
    </w:p>
    <w:p>
      <w:r>
        <w:t>Randomisierte Interventionsstudie mit 2.758 Schülern in 39 französischen Schulen zur Mediation von Effekten zwischen Wissens-, Einstellungs- und Verhaltensänderungen und HPV-Impfakzeptanz.</w:t>
      </w:r>
    </w:p>
    <w:p>
      <w:r>
        <w:rPr>
          <w:b/>
        </w:rPr>
        <w:t xml:space="preserve">Ergebnis: </w:t>
      </w:r>
      <w:r>
        <w:t>Gemeinsame Aufklärung (EMM) erhöhte Impfakzeptanz/Impfabsicht (OR 1,57; 95%-KI 1,02–2,41). Stärkste Mediationswirkungen durch verbesserte Nutzen-Risiko-Einstellung (OR 1,14), Sicherheitswahrnehmung (OR 1,12), Zugänglichkeit (OR 1,11), Peer-Diskussionen (OR 1,11) und Selbsteingeschätztes Wissen (OR 1,10). Haltungsänderungen wichtiger als reine Wissenseerhöhung.</w:t>
      </w:r>
    </w:p>
    <w:p>
      <w:r>
        <w:rPr>
          <w:b/>
          <w:sz w:val="19"/>
        </w:rPr>
        <w:t xml:space="preserve">Übertragbarkeit: </w:t>
      </w:r>
      <w:r>
        <w:rPr>
          <w:sz w:val="19"/>
        </w:rPr>
        <w:t>Frankreich, vergleichbare Schulstrukturen und Impfprogramme.</w:t>
      </w:r>
    </w:p>
    <w:p>
      <w:r>
        <w:rPr>
          <w:color w:val="5A7D3A"/>
          <w:sz w:val="18"/>
        </w:rPr>
        <w:t>https://pubmed.ncbi.nlm.nih.gov/42753385/</w:t>
      </w:r>
    </w:p>
    <w:p>
      <w:pPr>
        <w:pStyle w:val="Heading2"/>
      </w:pPr>
      <w:r>
        <w:t>Pertussis-Impfung in der Schwangerschaft: Einflussfaktoren und Impfskepsis in den Niederlanden</w:t>
      </w:r>
    </w:p>
    <w:p>
      <w:r>
        <w:rPr>
          <w:i/>
          <w:color w:val="666666"/>
          <w:sz w:val="18"/>
        </w:rPr>
        <w:t>van Vreeswijk-van Donselaar L et al.  ·  Vaccine  ·  24.10.2026  ·  PMID 42743752</w:t>
      </w:r>
    </w:p>
    <w:p>
      <w:r>
        <w:t>Retrospektive Kohortenstudie mit 17.513 Müttern aus Jugendgesundheitszentren (Niederlande 2020–März 2025) zu Determinanten der Impfakzeptanz und Gründen für Ablehnung.</w:t>
      </w:r>
    </w:p>
    <w:p>
      <w:r>
        <w:rPr>
          <w:b/>
        </w:rPr>
        <w:t xml:space="preserve">Ergebnis: </w:t>
      </w:r>
      <w:r>
        <w:t>Höhere Impfquote mit älterem Alter (OR 1,78–2,70), Beschäftigung (OR 2,55). Niedrigere Quote bei geringerer Bildung (OR 0,41), Mehrparität (OR 0,61), Geburt außerhalb NL. Mütter ≥41 Jahre lehnten öfter wegen Graviditätsbedenken ab (OR 2,61). Nicht-niederländische Muttersprache führte zu fehlender Info von Fachleuten (OR 2,19–2,96). Impfskepsis verteilt sich über alle soziodemografischen Gruppen.</w:t>
      </w:r>
    </w:p>
    <w:p>
      <w:r>
        <w:rPr>
          <w:b/>
          <w:sz w:val="19"/>
        </w:rPr>
        <w:t xml:space="preserve">Übertragbarkeit: </w:t>
      </w:r>
      <w:r>
        <w:rPr>
          <w:sz w:val="19"/>
        </w:rPr>
        <w:t>Niederlande, ähnliches Versicherungssystem und Impfprogramm.</w:t>
      </w:r>
    </w:p>
    <w:p>
      <w:r>
        <w:rPr>
          <w:color w:val="5A7D3A"/>
          <w:sz w:val="18"/>
        </w:rPr>
        <w:t>https://pubmed.ncbi.nlm.nih.gov/42743752/</w:t>
      </w:r>
    </w:p>
    <w:p>
      <w:pPr>
        <w:pStyle w:val="Heading2"/>
      </w:pPr>
      <w:r>
        <w:t>HPV-Impfung bei Männern senkt Analkrebs-Viren: Effekte sichtbar</w:t>
      </w:r>
    </w:p>
    <w:p>
      <w:r>
        <w:rPr>
          <w:i/>
          <w:color w:val="666666"/>
          <w:sz w:val="18"/>
        </w:rPr>
        <w:t>Checchi M et al.  ·  Vaccine  ·  24.10.2026  ·  PMID 42702144</w:t>
      </w:r>
    </w:p>
    <w:p>
      <w:r>
        <w:t>Überwachungsstudie mit 5.787 Rektaltupfern bei Männern, die Sex mit Männern haben (England 2017–2024, zwei Phasen) zum HPV-Serotyp-Rückgang nach Impfprogrammstart 2016.</w:t>
      </w:r>
    </w:p>
    <w:p>
      <w:r>
        <w:rPr>
          <w:b/>
        </w:rPr>
        <w:t xml:space="preserve">Ergebnis: </w:t>
      </w:r>
      <w:r>
        <w:t>36% Rückgang von HPV16/18-Prävalenz zwischen Phase 1 (2017–19, 3.291 Proben) und Phase 2 (2021–24, 2.496 Proben). HPV16/18-Prävalenz ähnlich in geimpften (16,6%; 95%-KI 15,2–18,1) und ungeimpften (15,8%; 95%-KI 14,5–17,1) Männern. Nachweis von Herdenimmunität und vermutlich Untererfassung von Impfmeldungen.</w:t>
      </w:r>
    </w:p>
    <w:p>
      <w:r>
        <w:rPr>
          <w:b/>
          <w:sz w:val="19"/>
        </w:rPr>
        <w:t xml:space="preserve">Übertragbarkeit: </w:t>
      </w:r>
      <w:r>
        <w:rPr>
          <w:sz w:val="19"/>
        </w:rPr>
        <w:t>England mit Impfregister; Datenqualität höher als Deutschland ohne Register.</w:t>
      </w:r>
    </w:p>
    <w:p>
      <w:r>
        <w:rPr>
          <w:color w:val="5A7D3A"/>
          <w:sz w:val="18"/>
        </w:rPr>
        <w:t>https://pubmed.ncbi.nlm.nih.gov/42702144/</w:t>
      </w:r>
    </w:p>
    <w:p>
      <w:pPr>
        <w:pStyle w:val="Heading1"/>
      </w:pPr>
      <w:r>
        <w:t>Aufgenommen am 27.09.2026</w:t>
      </w:r>
    </w:p>
    <w:p>
      <w:pPr>
        <w:pStyle w:val="Heading2"/>
      </w:pPr>
      <w:r>
        <w:t>Nirsevimab-Immunisierung senkte RSV-Hospitalisierung bei Neugeborenen um 78 %</w:t>
      </w:r>
    </w:p>
    <w:p>
      <w:r>
        <w:rPr>
          <w:i/>
          <w:color w:val="666666"/>
          <w:sz w:val="18"/>
        </w:rPr>
        <w:t>Auriti C et al.  ·  Viruses  ·  07.09.2026  ·  PMID 42797813</w:t>
      </w:r>
    </w:p>
    <w:p>
      <w:r>
        <w:t>Italienische Studie zur Wirksamkeit der universellen Nirsevimab-Prophylaxe gegen RSV-assoziierte Krankenhauseinweisungen bei Neugeborenen im Routinebetrieb.</w:t>
      </w:r>
    </w:p>
    <w:p>
      <w:r>
        <w:rPr>
          <w:b/>
        </w:rPr>
        <w:t xml:space="preserve">Ergebnis: </w:t>
      </w:r>
      <w:r>
        <w:t>78,3 % Wirksamkeit gegen RSV-assoziierte Hospitalisierung; Nirsevimab-geimpfte Infanten hatten niedrigere RSV-Infektionsrate (33,99 % vs. 68,21 %; p&lt;0,001) und benötigten seltener Atemunterstützung (55,23 % vs. 70,07 %; p&lt;0,001). Unter hospitalisierten Infanten zeigte sich ein 80,2 % Rückgang der Atemunterstützung und 64,3 % weniger NICU-Aufnahmen durch Impfung.</w:t>
      </w:r>
    </w:p>
    <w:p>
      <w:r>
        <w:rPr>
          <w:b/>
          <w:sz w:val="19"/>
        </w:rPr>
        <w:t xml:space="preserve">Übertragbarkeit: </w:t>
      </w:r>
      <w:r>
        <w:rPr>
          <w:sz w:val="19"/>
        </w:rPr>
        <w:t>Italien, vergleichbares Versicherungssystem und Impfkalender wie DACH</w:t>
      </w:r>
    </w:p>
    <w:p>
      <w:r>
        <w:rPr>
          <w:color w:val="5A7D3A"/>
          <w:sz w:val="18"/>
        </w:rPr>
        <w:t>https://pubmed.ncbi.nlm.nih.gov/42797813/</w:t>
      </w:r>
    </w:p>
    <w:p>
      <w:pPr>
        <w:pStyle w:val="Heading2"/>
      </w:pPr>
      <w:r>
        <w:t>Pneumokokken-Nasopharyngeal-Besiedlung bei hospitalisierten Kindern in Lettland</w:t>
      </w:r>
    </w:p>
    <w:p>
      <w:r>
        <w:rPr>
          <w:i/>
          <w:color w:val="666666"/>
          <w:sz w:val="18"/>
        </w:rPr>
        <w:t>Cupeca H et al.  ·  PLoS One  ·  25.09.2026  ·  PMID 42789531</w:t>
      </w:r>
    </w:p>
    <w:p>
      <w:r>
        <w:t>Querschnittsstudie zur Prävalenz und Serotyp-Verteilung von Pneumokokken-Besiedlung bei hospitalisierten Kindern während des Übergangs von PCV13 zu PCV15/PCV20.</w:t>
      </w:r>
    </w:p>
    <w:p>
      <w:r>
        <w:rPr>
          <w:b/>
        </w:rPr>
        <w:t xml:space="preserve">Ergebnis: </w:t>
      </w:r>
      <w:r>
        <w:t>Gesamtprävalenz der Besiedlung 21,8 % (70/321; 95%-KI: 17,6–26,6%); PCV-Impfquote 63,2 % (203/321), überwiegend PCV10; kein signifikanter Unterschied zwischen geimpften und ungeimpften Kindern (25,6 % vs. 16,7 %; p=0,138); häufigste Serotypen 20, 13, 48 – keine in PCV13-abgedeckt.</w:t>
      </w:r>
    </w:p>
    <w:p>
      <w:r>
        <w:rPr>
          <w:b/>
          <w:sz w:val="19"/>
        </w:rPr>
        <w:t xml:space="preserve">Übertragbarkeit: </w:t>
      </w:r>
      <w:r>
        <w:rPr>
          <w:sz w:val="19"/>
        </w:rPr>
        <w:t>Baltische Region, aber Daten übertragbar auf deutschsprachige Länder bei ähnlichem PCV-Übergang</w:t>
      </w:r>
    </w:p>
    <w:p>
      <w:r>
        <w:rPr>
          <w:color w:val="5A7D3A"/>
          <w:sz w:val="18"/>
        </w:rPr>
        <w:t>https://pubmed.ncbi.nlm.nih.gov/42789531/</w:t>
      </w:r>
    </w:p>
    <w:p>
      <w:pPr>
        <w:pStyle w:val="Heading2"/>
      </w:pPr>
      <w:r>
        <w:t>Vertrauen und mRNA-Impfstoffakzeptanz durch deliberative Dialoge stärken</w:t>
      </w:r>
    </w:p>
    <w:p>
      <w:r>
        <w:rPr>
          <w:i/>
          <w:color w:val="666666"/>
          <w:sz w:val="18"/>
        </w:rPr>
        <w:t>Plamondon K et al.  ·  JMIR Res Protoc  ·  25.09.2026  ·  PMID 42789402</w:t>
      </w:r>
    </w:p>
    <w:p>
      <w:r>
        <w:t>Protokoll einer sequenziellen deliberativen Dialogstudie zu Bedingungen für informierte Öffentlichkeitsbeteiligung, Vertrauen und Akzeptanz emergenter Vakzin-Technologien am Beispiel mRNA-Impfstoffe.</w:t>
      </w:r>
    </w:p>
    <w:p>
      <w:r>
        <w:rPr>
          <w:b/>
        </w:rPr>
        <w:t xml:space="preserve">Ergebnis: </w:t>
      </w:r>
      <w:r>
        <w:t>Bis Juni 2026: 10 deliberative Dialoge und 1 selbstgeleiteter Dialog mit 77 Beteiligten durchgeführt; 2 summative Dialoge mit 18 Teilnehmern; erwartete Publikation Zweite Hälfte 2026; Fokus auf Verbesserung von Wissenschaftskompetenz, tailored Kommunikation unter Berücksichtigung historischer Ungleichheiten und Navigation von Polarisierung rund um Impfung.</w:t>
      </w:r>
    </w:p>
    <w:p>
      <w:r>
        <w:rPr>
          <w:b/>
          <w:sz w:val="19"/>
        </w:rPr>
        <w:t xml:space="preserve">Übertragbarkeit: </w:t>
      </w:r>
      <w:r>
        <w:rPr>
          <w:sz w:val="19"/>
        </w:rPr>
        <w:t>Kanada, aber deliberative Methode und Vertrauensfragen universal auf deutschsprachige Systeme übertragbar</w:t>
      </w:r>
    </w:p>
    <w:p>
      <w:r>
        <w:rPr>
          <w:color w:val="5A7D3A"/>
          <w:sz w:val="18"/>
        </w:rPr>
        <w:t>https://pubmed.ncbi.nlm.nih.gov/42789402/</w:t>
      </w:r>
    </w:p>
    <w:p>
      <w:pPr>
        <w:pStyle w:val="Heading2"/>
      </w:pPr>
      <w:r>
        <w:t>Hochdosis-Influenzaimpfung für kardiovaskuläre Prävention bei älteren Patienten</w:t>
      </w:r>
    </w:p>
    <w:p>
      <w:r>
        <w:rPr>
          <w:i/>
          <w:color w:val="666666"/>
          <w:sz w:val="18"/>
        </w:rPr>
        <w:t>Volpe M et al.  ·  G Ital Cardiol (Rome)  ·  Okt. 2026  ·  PMID 42788302</w:t>
      </w:r>
    </w:p>
    <w:p>
      <w:r>
        <w:t>Konsens-Papier fünf italienischer Fachgesellschaften zur Influenzaimpfung als Prävention kardiovaskulärer Komplikationen bei Risikopatienten, basierend auf FLUNITY-HD-Daten.</w:t>
      </w:r>
    </w:p>
    <w:p>
      <w:r>
        <w:rPr>
          <w:b/>
        </w:rPr>
        <w:t xml:space="preserve">Ergebnis: </w:t>
      </w:r>
      <w:r>
        <w:t>Hochdosis-Influenzaimpfung zeigt signifikante Vorteile gegenüber Standarddosis; Empfehlung für ältere Patienten und solche mit kardiovaskulärer Erkrankung zur Stärkung der Immunantwort und besseren kardiovaskulären Schutz.</w:t>
      </w:r>
    </w:p>
    <w:p>
      <w:r>
        <w:rPr>
          <w:b/>
          <w:sz w:val="19"/>
        </w:rPr>
        <w:t xml:space="preserve">Übertragbarkeit: </w:t>
      </w:r>
      <w:r>
        <w:rPr>
          <w:sz w:val="19"/>
        </w:rPr>
        <w:t>Italien, aber zunehmende Evidenz aus großen europäischen Studien; übertragbar auf deutsche Impfpraxis</w:t>
      </w:r>
    </w:p>
    <w:p>
      <w:r>
        <w:rPr>
          <w:color w:val="5A7D3A"/>
          <w:sz w:val="18"/>
        </w:rPr>
        <w:t>https://pubmed.ncbi.nlm.nih.gov/42788302/</w:t>
      </w:r>
    </w:p>
    <w:p>
      <w:pPr>
        <w:pStyle w:val="Heading2"/>
      </w:pPr>
      <w:r>
        <w:t>Anti-CD19-CAR-T-Therapie in SLE: Keine Signale für beeinträchtigte Eierstockreserve</w:t>
      </w:r>
    </w:p>
    <w:p>
      <w:r>
        <w:rPr>
          <w:i/>
          <w:color w:val="666666"/>
          <w:sz w:val="18"/>
        </w:rPr>
        <w:t>Pecher AC et al.  ·  Rheumatology (Oxford)  ·  01.08.2026  ·  PMID 42584071</w:t>
      </w:r>
    </w:p>
    <w:p>
      <w:r>
        <w:t>Longitudinale Studie zu reproduktiven Hormonmarkern bei 13 Frauen mit schwerem, therapierefraktärem SLE nach anti-CD19-CAR-T-Zelltherapie.</w:t>
      </w:r>
    </w:p>
    <w:p>
      <w:r>
        <w:rPr>
          <w:b/>
        </w:rPr>
        <w:t xml:space="preserve">Ergebnis: </w:t>
      </w:r>
      <w:r>
        <w:t>AMH-Level stabil (1,54 ng/ml [IQR 0,64–3,15] vs. 2,14 ng/ml [0,63–3,26]; p=0,886); FSH moderat erhöht (6,60 IU/l [4,00–7,90] vs. 7,20 IU/l [4,50–9,90]; p=0,033), aber ohne begleitenden AMH-Rückgang; keine Signale einer beeinträchtigten Eierstockreserve unter Standardlymphodepletion.</w:t>
      </w:r>
    </w:p>
    <w:p>
      <w:r>
        <w:rPr>
          <w:b/>
          <w:sz w:val="19"/>
        </w:rPr>
        <w:t xml:space="preserve">Übertragbarkeit: </w:t>
      </w:r>
      <w:r>
        <w:rPr>
          <w:sz w:val="19"/>
        </w:rPr>
        <w:t>Deutschland, Schweiz, Österreich – Immuntherapie-Zentren mit ähnlicher CAR-T-Infrastruktur</w:t>
      </w:r>
    </w:p>
    <w:p>
      <w:r>
        <w:rPr>
          <w:color w:val="5A7D3A"/>
          <w:sz w:val="18"/>
        </w:rPr>
        <w:t>https://pubmed.ncbi.nlm.nih.gov/42584071/</w:t>
      </w:r>
    </w:p>
    <w:p>
      <w:pPr>
        <w:pStyle w:val="Heading2"/>
      </w:pPr>
      <w:r>
        <w:t>Internetnutzung hat ambivalente Effekte auf Impfskepsis: Hochschulrechnung mit 48.538 Personen</w:t>
      </w:r>
    </w:p>
    <w:p>
      <w:r>
        <w:rPr>
          <w:i/>
          <w:color w:val="666666"/>
          <w:sz w:val="18"/>
        </w:rPr>
        <w:t>Helbing A et al.  ·  J Community Health  ·  16.07.2026  ·  PMID 42461515</w:t>
      </w:r>
    </w:p>
    <w:p>
      <w:r>
        <w:t>Multilevel-Logit-Analyse zu Zusammenhang zwischen Internetnutzung, digitaler Gesundheitskompetenz (DHL) und Impfskepsis auf Basis der ISSP 2021-Daten.</w:t>
      </w:r>
    </w:p>
    <w:p>
      <w:r>
        <w:rPr>
          <w:b/>
        </w:rPr>
        <w:t xml:space="preserve">Ergebnis: </w:t>
      </w:r>
      <w:r>
        <w:t>Nicht-lineare Beziehung: Personen ohne Internetzugang und solche mit sehr häufiger Online-Suche nach Impfinformation zeigen höhere Skepsis; niedrige DHL konsistent mit mehr Impfskepsis assoziiert; Unzufriedenheit mit Gesundheitssystem und niedrigere nationale Gesundheitsqualität verstärken Skepsis; Internetnutzung ist sowohl Bildungs- als auch Fehlinformationspotenzial.</w:t>
      </w:r>
    </w:p>
    <w:p>
      <w:r>
        <w:rPr>
          <w:b/>
          <w:sz w:val="19"/>
        </w:rPr>
        <w:t xml:space="preserve">Übertragbarkeit: </w:t>
      </w:r>
      <w:r>
        <w:rPr>
          <w:sz w:val="19"/>
        </w:rPr>
        <w:t>48 Länder (ISSP), inklusive Deutschland; vergleichbare Sozialversicherungssysteme</w:t>
      </w:r>
    </w:p>
    <w:p>
      <w:r>
        <w:rPr>
          <w:color w:val="5A7D3A"/>
          <w:sz w:val="18"/>
        </w:rPr>
        <w:t>https://pubmed.ncbi.nlm.nih.gov/42461515/</w:t>
      </w:r>
    </w:p>
    <w:p>
      <w:pPr>
        <w:pStyle w:val="Heading1"/>
      </w:pPr>
      <w:r>
        <w:t>Aufgenommen am 26.09.2026</w:t>
      </w:r>
    </w:p>
    <w:p>
      <w:pPr>
        <w:pStyle w:val="Heading2"/>
      </w:pPr>
      <w:r>
        <w:t>Tollwutimpfung bei Kindern in Thailand: Prävention mit Kosten-Nutzen-Vorteilen</w:t>
      </w:r>
    </w:p>
    <w:p>
      <w:r>
        <w:rPr>
          <w:i/>
          <w:color w:val="666666"/>
          <w:sz w:val="18"/>
        </w:rPr>
        <w:t>Soopairin S et al.  ·  BMJ Glob Health  ·  25.09.2026  ·  PMID 42791044</w:t>
      </w:r>
    </w:p>
    <w:p>
      <w:r>
        <w:t>Entscheidungsmodell-Analyse zum Kosten-Nutzen-Verhältnis einer Tollwut-Präexpositionsprophylaxe (PrEP) plus Postexpositionsprophylaxe (PEP) versus PEP allein bei 5-Jährigen in Thailand.</w:t>
      </w:r>
    </w:p>
    <w:p>
      <w:r>
        <w:rPr>
          <w:b/>
        </w:rPr>
        <w:t xml:space="preserve">Ergebnis: </w:t>
      </w:r>
      <w:r>
        <w:t>PrEP+PEP intrakutan mit inaktiviertem Hühnerzellvakzin war kosteneffektiv mit 40.977 THB (~1.161 USD) pro qualitätsbereinigtem Lebensjahr vs. PEP allein. Jährliche Bissinzidenz war einflussreichster Parameter; Kosten-Effektivität bleib robust über weitere Parameter.</w:t>
      </w:r>
    </w:p>
    <w:p>
      <w:r>
        <w:rPr>
          <w:b/>
          <w:sz w:val="19"/>
        </w:rPr>
        <w:t xml:space="preserve">Übertragbarkeit: </w:t>
      </w:r>
      <w:r>
        <w:rPr>
          <w:sz w:val="19"/>
        </w:rPr>
        <w:t>Thailand, außereuropäisches System; Kosten-Nutzen-Befund ist methodisch übertragbar für Priorisierung in Impfprogrammen.</w:t>
      </w:r>
    </w:p>
    <w:p>
      <w:r>
        <w:rPr>
          <w:color w:val="5A7D3A"/>
          <w:sz w:val="18"/>
        </w:rPr>
        <w:t>https://pubmed.ncbi.nlm.nih.gov/42791044/</w:t>
      </w:r>
    </w:p>
    <w:p>
      <w:pPr>
        <w:pStyle w:val="Heading2"/>
      </w:pPr>
      <w:r>
        <w:t>Influenza-Impfquoten in der Praxis: Defizite bei hochwertigen Impfstoffen</w:t>
      </w:r>
    </w:p>
    <w:p>
      <w:r>
        <w:rPr>
          <w:i/>
          <w:color w:val="666666"/>
          <w:sz w:val="18"/>
        </w:rPr>
        <w:t>Amicizia D et al.  ·  Hum Vaccin Immunother  ·  25.09.2026  ·  PMID 42788870</w:t>
      </w:r>
    </w:p>
    <w:p>
      <w:r>
        <w:t>Italienische Studie zur Influenzaimpfung ≥60-Jähriger in zwei Saisons (2023/24 und 2024/25), die den Wechsel zu dezentraler Versorgung durch Apotheken und Hausärzte untersucht.</w:t>
      </w:r>
    </w:p>
    <w:p>
      <w:r>
        <w:rPr>
          <w:b/>
        </w:rPr>
        <w:t xml:space="preserve">Ergebnis: </w:t>
      </w:r>
      <w:r>
        <w:t>Gesamtquote sank um 6% zwischen den Saisons; nur 65% (2023/24) bzw. 73% (2024/25) der ≥65-Jährigen erhielten altersgerechte hochdosierte Impfstoffe. Dezentrale Versorgung steigerte zwar Erreichbarkeit, führte aber zu erheblicher Varianz bei der Impfstoffwahl und suboptimalen Plattformen bei Hochrisikogruppen.</w:t>
      </w:r>
    </w:p>
    <w:p>
      <w:r>
        <w:rPr>
          <w:b/>
          <w:sz w:val="19"/>
        </w:rPr>
        <w:t xml:space="preserve">Übertragbarkeit: </w:t>
      </w:r>
      <w:r>
        <w:rPr>
          <w:sz w:val="19"/>
        </w:rPr>
        <w:t>Italien, vergleichbares Gesundheitssystem; zeigt Hürden bei Umsetzung von Leitlinien in dezentraler Versorgung.</w:t>
      </w:r>
    </w:p>
    <w:p>
      <w:r>
        <w:rPr>
          <w:color w:val="5A7D3A"/>
          <w:sz w:val="18"/>
        </w:rPr>
        <w:t>https://pubmed.ncbi.nlm.nih.gov/42788870/</w:t>
      </w:r>
    </w:p>
    <w:p>
      <w:pPr>
        <w:pStyle w:val="Heading2"/>
      </w:pPr>
      <w:r>
        <w:t>HPV-Impfung und Krebsvorsorge in Brasilien: Pandemie-Folgen bei Ungleichheit</w:t>
      </w:r>
    </w:p>
    <w:p>
      <w:r>
        <w:rPr>
          <w:i/>
          <w:color w:val="666666"/>
          <w:sz w:val="18"/>
        </w:rPr>
        <w:t>Carvalho TS et al.  ·  Rev Inst Med Trop Sao Paulo  ·  18.09.2026  ·  PMID 42788601</w:t>
      </w:r>
    </w:p>
    <w:p>
      <w:r>
        <w:t>Ökologische Studie (2016–2021) zur Auswirkung der COVID-19-Pandemie auf HPV-Impfquoten und Pap-Abstrich-Screening in Sao Paulo State mittels öffentlicher Datenbank.</w:t>
      </w:r>
    </w:p>
    <w:p>
      <w:r>
        <w:rPr>
          <w:b/>
        </w:rPr>
        <w:t xml:space="preserve">Ergebnis: </w:t>
      </w:r>
      <w:r>
        <w:t>HPV-Impfquoten stiegen 2020, hielten aber 2021 nicht an. Pap-Abstriche sanken 2020 und erholten sich 2021 nur teilweise, besonders in Gemeinden mit niedrigen sozioökonomischen Indikatoren. Anzahl der COVID-19-Fälle war nicht stark assoziiert mit Schwankungen in Präventionsdiensten.</w:t>
      </w:r>
    </w:p>
    <w:p>
      <w:r>
        <w:rPr>
          <w:b/>
          <w:sz w:val="19"/>
        </w:rPr>
        <w:t xml:space="preserve">Übertragbarkeit: </w:t>
      </w:r>
      <w:r>
        <w:rPr>
          <w:sz w:val="19"/>
        </w:rPr>
        <w:t>Brasilien, öffentliche Gesundheitsverwaltung; zeigt Resilienz-Probleme bei integrierten Präventionsprogrammen unter Krise, besonders bei vulnerablen Bevölkerungen.</w:t>
      </w:r>
    </w:p>
    <w:p>
      <w:r>
        <w:rPr>
          <w:color w:val="5A7D3A"/>
          <w:sz w:val="18"/>
        </w:rPr>
        <w:t>https://pubmed.ncbi.nlm.nih.gov/42788601/</w:t>
      </w:r>
    </w:p>
    <w:p>
      <w:pPr>
        <w:pStyle w:val="Heading2"/>
      </w:pPr>
      <w:r>
        <w:t>Sicherheit von HPV-Impfstoffen in China: Verträglichkeit unter Alltag</w:t>
      </w:r>
    </w:p>
    <w:p>
      <w:r>
        <w:rPr>
          <w:i/>
          <w:color w:val="666666"/>
          <w:sz w:val="18"/>
        </w:rPr>
        <w:t>Xie M et al.  ·  Hum Vaccin Immunother  ·  25.09.2026  ·  PMID 42788243</w:t>
      </w:r>
    </w:p>
    <w:p>
      <w:r>
        <w:t>Postmarketing-Sicherheitsüberwachung von HPV-Impfstoffen in Shandong 2017–2025 mittels Nebenwirkungsmeldungen.</w:t>
      </w:r>
    </w:p>
    <w:p>
      <w:r>
        <w:rPr>
          <w:b/>
        </w:rPr>
        <w:t xml:space="preserve">Ergebnis: </w:t>
      </w:r>
      <w:r>
        <w:t>1.056 Meldungen bei ~13,2 Millionen Dosen (Quote 7,99 pro 100.000 Dosen); 95,46% leichte Reaktionen, 1,42% seltene unerwünschte Ereignisse (u.a. Myalgie, Induration &gt;5 cm, Immunthrombozytopenie). Sicherheitsprofil insgesamt gut.</w:t>
      </w:r>
    </w:p>
    <w:p>
      <w:r>
        <w:rPr>
          <w:b/>
          <w:sz w:val="19"/>
        </w:rPr>
        <w:t xml:space="preserve">Übertragbarkeit: </w:t>
      </w:r>
      <w:r>
        <w:rPr>
          <w:sz w:val="19"/>
        </w:rPr>
        <w:t>China, anderes Meldesystem; bestätigt gutes Sicherheitsprofil auch bei Millionenfach-Anwendung.</w:t>
      </w:r>
    </w:p>
    <w:p>
      <w:r>
        <w:rPr>
          <w:color w:val="5A7D3A"/>
          <w:sz w:val="18"/>
        </w:rPr>
        <w:t>https://pubmed.ncbi.nlm.nih.gov/42788243/</w:t>
      </w:r>
    </w:p>
    <w:p>
      <w:pPr>
        <w:pStyle w:val="Heading2"/>
      </w:pPr>
      <w:r>
        <w:t>Enterovirus-71-Impfung senkt Fallzahlen von Hand-Fuß-Mund-Krankheit</w:t>
      </w:r>
    </w:p>
    <w:p>
      <w:r>
        <w:rPr>
          <w:i/>
          <w:color w:val="666666"/>
          <w:sz w:val="18"/>
        </w:rPr>
        <w:t>Li K et al.  ·  JMIR Public Health Surveill  ·  24.09.2026  ·  PMID 42785728</w:t>
      </w:r>
    </w:p>
    <w:p>
      <w:r>
        <w:t>Überwachungsstudie (2008–2023) in Anhui, China zur Epidemiologie von Hand-Fuß-Mund-Krankheit (HFMD) nach Einführung der EV71-Impfung und während COVID-19-Pandemie.</w:t>
      </w:r>
    </w:p>
    <w:p>
      <w:r>
        <w:rPr>
          <w:b/>
        </w:rPr>
        <w:t xml:space="preserve">Ergebnis: </w:t>
      </w:r>
      <w:r>
        <w:t>Typisierte EV71-Fälle sanken von 45,8% (vor Impfung) auf 3,4% (während COVID-19); Vorhersagemodelle für 2017–2019 zeigten 470 beobachtete vs. 659 vorhergesagte EV71-Fälle 2017 (95%-PI 467–933). Gesamtlast HFMD während COVID-19 substanziell unter Prognose, Todesfälle ab 2020 keine gemeldet.</w:t>
      </w:r>
    </w:p>
    <w:p>
      <w:r>
        <w:rPr>
          <w:b/>
          <w:sz w:val="19"/>
        </w:rPr>
        <w:t xml:space="preserve">Übertragbarkeit: </w:t>
      </w:r>
      <w:r>
        <w:rPr>
          <w:sz w:val="19"/>
        </w:rPr>
        <w:t>China, Überwachungsdaten; zeigt reale Impfeffektivität bei Bevölkerungsergebnissen unter Alltagsbedingungen.</w:t>
      </w:r>
    </w:p>
    <w:p>
      <w:r>
        <w:rPr>
          <w:color w:val="5A7D3A"/>
          <w:sz w:val="18"/>
        </w:rPr>
        <w:t>https://pubmed.ncbi.nlm.nih.gov/42785728/</w:t>
      </w:r>
    </w:p>
    <w:p>
      <w:pPr>
        <w:pStyle w:val="Heading2"/>
      </w:pPr>
      <w:r>
        <w:t>COVID-19-Impfung überwindet HLA-bedingte Unterschiede in Antikörper-Breite</w:t>
      </w:r>
    </w:p>
    <w:p>
      <w:r>
        <w:rPr>
          <w:i/>
          <w:color w:val="666666"/>
          <w:sz w:val="18"/>
        </w:rPr>
        <w:t>Nguyen TTN et al.  ·  Front Immunol  ·  08.09.2026  ·  PMID 42774458</w:t>
      </w:r>
    </w:p>
    <w:p>
      <w:r>
        <w:t>Longitudinale Kohortenstudie an 189 vietnamesischen Erwachsenen vor und nach COVID-19-Impfung, mit HLA-Genotypisierung und Neutralisierungstests gegen Variants of Concern.</w:t>
      </w:r>
    </w:p>
    <w:p>
      <w:r>
        <w:rPr>
          <w:b/>
        </w:rPr>
        <w:t xml:space="preserve">Ergebnis: </w:t>
      </w:r>
      <w:r>
        <w:t>Impfung erhöhte Antikörpertiter gegen Wuhan um 132-fach und gegen Omikron 10-fach; Neutralisierungbreite erweiterte sich substanziell. HLA-Assoziationen bei Zeitpunkt 1 beobachtet, aber Impfung erwies sich als stärkster Faktor für Neutralisierungsbreite bei Monat 15 (p&lt;0,001 in multivariablen Modellen).</w:t>
      </w:r>
    </w:p>
    <w:p>
      <w:r>
        <w:rPr>
          <w:b/>
          <w:sz w:val="19"/>
        </w:rPr>
        <w:t xml:space="preserve">Übertragbarkeit: </w:t>
      </w:r>
      <w:r>
        <w:rPr>
          <w:sz w:val="19"/>
        </w:rPr>
        <w:t>Vietnam, Hybridimmunität; zeigt, dass Impfung genetische Heterogenität in Antikörper-Breite überlagert und Population-spezifische Langzeitimmunität aufbaut.</w:t>
      </w:r>
    </w:p>
    <w:p>
      <w:r>
        <w:rPr>
          <w:color w:val="5A7D3A"/>
          <w:sz w:val="18"/>
        </w:rPr>
        <w:t>https://pubmed.ncbi.nlm.nih.gov/42774458/</w:t>
      </w:r>
    </w:p>
    <w:p>
      <w:pPr>
        <w:pStyle w:val="Heading1"/>
      </w:pPr>
      <w:r>
        <w:t>Aufgenommen am 25.09.2026</w:t>
      </w:r>
    </w:p>
    <w:p>
      <w:pPr>
        <w:pStyle w:val="Heading2"/>
      </w:pPr>
      <w:r>
        <w:t>SARS-CoV-2-Impfstoffverfügbarkeit in ruralen Regionen sub-Sahara-Afrikas – systematisches Reviewprotokoll</w:t>
      </w:r>
    </w:p>
    <w:p>
      <w:r>
        <w:rPr>
          <w:i/>
          <w:color w:val="666666"/>
          <w:sz w:val="18"/>
        </w:rPr>
        <w:t>Nyangi E et al.  ·  BMJ Open  ·  24.09.2026  ·  PMID 42785944</w:t>
      </w:r>
    </w:p>
    <w:p>
      <w:r>
        <w:t>Systematisches Reviewprotokoll zu Verfügbarkeit und Erreichbarkeit von COVID-19-Impfstoffen bei ruraler Bevölkerung in sub-Sahara-Afrika (Suche Oktober 2025–Oktober 2027).</w:t>
      </w:r>
    </w:p>
    <w:p>
      <w:r>
        <w:rPr>
          <w:b/>
        </w:rPr>
        <w:t xml:space="preserve">Ergebnis: </w:t>
      </w:r>
      <w:r>
        <w:t>Systematisches Review und Meta-Analyse in Planung; quantitative Befunde werden mit Modell mit Zufallseffekten gepoolt, qualitative Befunde thematisch synthetisiert. Schwerpunkt: strukturelle Barrieren, schwache Gesundheitssysteme, Ressourcenmangel.</w:t>
      </w:r>
    </w:p>
    <w:p>
      <w:r>
        <w:rPr>
          <w:b/>
          <w:sz w:val="19"/>
        </w:rPr>
        <w:t xml:space="preserve">Übertragbarkeit: </w:t>
      </w:r>
      <w:r>
        <w:rPr>
          <w:sz w:val="19"/>
        </w:rPr>
        <w:t>Sub-Sahara-Afrika, methodisch relevant für Reichweitenanalysen, aber Ressourcenlage sehr unterschiedlich</w:t>
      </w:r>
    </w:p>
    <w:p>
      <w:r>
        <w:rPr>
          <w:color w:val="5A7D3A"/>
          <w:sz w:val="18"/>
        </w:rPr>
        <w:t>https://pubmed.ncbi.nlm.nih.gov/42785944/</w:t>
      </w:r>
    </w:p>
    <w:p>
      <w:pPr>
        <w:pStyle w:val="Heading2"/>
      </w:pPr>
      <w:r>
        <w:t>Kostenloses Grippeimpfangebot erhöht Impfquote und psychisches Wohlbefinden älterer Menschen</w:t>
      </w:r>
    </w:p>
    <w:p>
      <w:r>
        <w:rPr>
          <w:i/>
          <w:color w:val="666666"/>
          <w:sz w:val="18"/>
        </w:rPr>
        <w:t>Wang Y  ·  Front Public Health  ·  09.09.2026  ·  PMID 42780378</w:t>
      </w:r>
    </w:p>
    <w:p>
      <w:r>
        <w:t>Chinesische Differenz-in-Differenzen-Analyse zur Wirkung einer kostenlosen Grippeimpfpolitik für die Bevölkerung ab 60 Jahren auf Impfquoten und Gesundheit.</w:t>
      </w:r>
    </w:p>
    <w:p>
      <w:r>
        <w:rPr>
          <w:b/>
        </w:rPr>
        <w:t xml:space="preserve">Ergebnis: </w:t>
      </w:r>
      <w:r>
        <w:t>Die Impfquote stieg um 23 Prozentpunkte. Die Wahrscheinlichkeit, dass gesundheitliche Probleme die täglichen Aktivitäten einschränken, sank um 16,9 Prozentpunkte; das Gefühl von Energie stieg um 28,1 Prozentpunkte. Der Effekt funktioniert über Verhaltenspfade, nicht nur biologisch.</w:t>
      </w:r>
    </w:p>
    <w:p>
      <w:r>
        <w:rPr>
          <w:b/>
          <w:sz w:val="19"/>
        </w:rPr>
        <w:t xml:space="preserve">Übertragbarkeit: </w:t>
      </w:r>
      <w:r>
        <w:rPr>
          <w:sz w:val="19"/>
        </w:rPr>
        <w:t>China, aber Versorgungsfrage (Kostenfreiheit und Quote) übertragbar auf Deutschland-Diskussionen zur Impffinanzierung</w:t>
      </w:r>
    </w:p>
    <w:p>
      <w:r>
        <w:rPr>
          <w:color w:val="5A7D3A"/>
          <w:sz w:val="18"/>
        </w:rPr>
        <w:t>https://pubmed.ncbi.nlm.nih.gov/42780378/</w:t>
      </w:r>
    </w:p>
    <w:p>
      <w:pPr>
        <w:pStyle w:val="Heading2"/>
      </w:pPr>
      <w:r>
        <w:t>Impfwissen und Eigenimpfung prägen Impfempfehlung durch Gesundheitspersonal</w:t>
      </w:r>
    </w:p>
    <w:p>
      <w:r>
        <w:rPr>
          <w:i/>
          <w:color w:val="666666"/>
          <w:sz w:val="18"/>
        </w:rPr>
        <w:t>Shi H et al.  ·  Front Public Health  ·  09.09.2026  ·  PMID 42780248</w:t>
      </w:r>
    </w:p>
    <w:p>
      <w:r>
        <w:t>Querschnittstudie zu Pfad zwischen Grippeimpfwissen, Eigenimpfung, zukünftiger Impfbereitschaft und Empfehlungsverhalten bei 4.238 Beschäftigten im Gesundheitswesen in Beijing.</w:t>
      </w:r>
    </w:p>
    <w:p>
      <w:r>
        <w:rPr>
          <w:b/>
        </w:rPr>
        <w:t xml:space="preserve">Ergebnis: </w:t>
      </w:r>
      <w:r>
        <w:t>22,1 % waren aktuell geimpft, 43,7 % wollten sich nächste Saison impfen, 82,0 % empfahlen Impfung Patienten. Impfwissen korrelierte mit Impfquote (β = 0,09, p &lt; 0,001); Eigenimpfung vorhersagend für zukünftige Impfbereitschaft (β = 0,47); zukünftige Bereitschaft stärkster Prädiktor für Empfehlung (β = 0,41, p &lt; 0,001).</w:t>
      </w:r>
    </w:p>
    <w:p>
      <w:r>
        <w:rPr>
          <w:b/>
          <w:sz w:val="19"/>
        </w:rPr>
        <w:t xml:space="preserve">Übertragbarkeit: </w:t>
      </w:r>
      <w:r>
        <w:rPr>
          <w:sz w:val="19"/>
        </w:rPr>
        <w:t>China, aber Pfadmodell (Wissen → Verhalten → Empfehlung) systemübergreifend relevant</w:t>
      </w:r>
    </w:p>
    <w:p>
      <w:r>
        <w:rPr>
          <w:color w:val="5A7D3A"/>
          <w:sz w:val="18"/>
        </w:rPr>
        <w:t>https://pubmed.ncbi.nlm.nih.gov/42780248/</w:t>
      </w:r>
    </w:p>
    <w:p>
      <w:pPr>
        <w:pStyle w:val="Heading2"/>
      </w:pPr>
      <w:r>
        <w:t>Impflücken bei Flüchtlingen und Migranten in Uganda: Systematische Analyse von Barrieren und Lösungen</w:t>
      </w:r>
    </w:p>
    <w:p>
      <w:r>
        <w:rPr>
          <w:i/>
          <w:color w:val="666666"/>
          <w:sz w:val="18"/>
        </w:rPr>
        <w:t>Nakachwa SM et al.  ·  Glob Public Health  ·  31.12.2026  ·  PMID 42776600</w:t>
      </w:r>
    </w:p>
    <w:p>
      <w:r>
        <w:t>Narrative Review zu Impfquoten, Barrieren und Maßnahmen bei Flüchtlingen und Migranten in Uganda bis September 2025.</w:t>
      </w:r>
    </w:p>
    <w:p>
      <w:r>
        <w:rPr>
          <w:b/>
        </w:rPr>
        <w:t xml:space="preserve">Ergebnis: </w:t>
      </w:r>
      <w:r>
        <w:t>Flüchtlings-Impfquoten unter nationalen Durchschnitten durch administrative Hürden, Engpässe, Entfernungen, Sprachhindernisse und Desinformation. Erfolgreiche Ansätze: Integration in nationale Systeme, vereinfachte Registrierung, mobile Angebote, Gemeindegesundheitspersonal, grenzübergreifende Datenkoordination.</w:t>
      </w:r>
    </w:p>
    <w:p>
      <w:r>
        <w:rPr>
          <w:b/>
          <w:sz w:val="19"/>
        </w:rPr>
        <w:t xml:space="preserve">Übertragbarkeit: </w:t>
      </w:r>
      <w:r>
        <w:rPr>
          <w:sz w:val="19"/>
        </w:rPr>
        <w:t>Uganda, aber Barrieren und Strategien (mobil, registrierungsarmut) für vulnerable Gruppen übertragbar</w:t>
      </w:r>
    </w:p>
    <w:p>
      <w:r>
        <w:rPr>
          <w:color w:val="5A7D3A"/>
          <w:sz w:val="18"/>
        </w:rPr>
        <w:t>https://pubmed.ncbi.nlm.nih.gov/42776600/</w:t>
      </w:r>
    </w:p>
    <w:p>
      <w:pPr>
        <w:pStyle w:val="Heading2"/>
      </w:pPr>
      <w:r>
        <w:t>Grippeimpfquote bei Fachpersonen in Guangzhou: Unterschiede nach Arbeitsstätte und Wissenstyp</w:t>
      </w:r>
    </w:p>
    <w:p>
      <w:r>
        <w:rPr>
          <w:i/>
          <w:color w:val="666666"/>
          <w:sz w:val="18"/>
        </w:rPr>
        <w:t>Lin D et al.  ·  Expert Rev Vaccines  ·  23.09.2026  ·  PMID 42775460</w:t>
      </w:r>
    </w:p>
    <w:p>
      <w:r>
        <w:t>Querschnittstudie unter 3.153 Gesundheitsfachleuten in Grundversorgung, Krankenhäusern und Schulen zur Grippeimpfquote und Empfehlungsverhalten.</w:t>
      </w:r>
    </w:p>
    <w:p>
      <w:r>
        <w:rPr>
          <w:b/>
        </w:rPr>
        <w:t xml:space="preserve">Ergebnis: </w:t>
      </w:r>
      <w:r>
        <w:t>46,2 % waren mindestens in einer der letzten vier Saisons geimpft, durchschnittliche saisonale Quote 28,2 %. Öffentlichkeitsgesundheit: OR 2,53, Schulgesundheit: OR 0,64 vs. Ärzte. Impfstoffwissen positiv assoziiert mit Impfung (OR 1,09) und Empfehlungsverhalten (OR 1,11).</w:t>
      </w:r>
    </w:p>
    <w:p>
      <w:r>
        <w:rPr>
          <w:b/>
          <w:sz w:val="19"/>
        </w:rPr>
        <w:t xml:space="preserve">Übertragbarkeit: </w:t>
      </w:r>
      <w:r>
        <w:rPr>
          <w:sz w:val="19"/>
        </w:rPr>
        <w:t>China, aber Versorgungsmuster (Quote nach Berufsgruppe) international vergleichbar</w:t>
      </w:r>
    </w:p>
    <w:p>
      <w:r>
        <w:rPr>
          <w:color w:val="5A7D3A"/>
          <w:sz w:val="18"/>
        </w:rPr>
        <w:t>https://pubmed.ncbi.nlm.nih.gov/42775460/</w:t>
      </w:r>
    </w:p>
    <w:p>
      <w:pPr>
        <w:pStyle w:val="Heading2"/>
      </w:pPr>
      <w:r>
        <w:t>HPV-Impfung und HPV-Screening kombiniert für vulnerable Frauen in Europa – Implementierungsprotokoll</w:t>
      </w:r>
    </w:p>
    <w:p>
      <w:r>
        <w:rPr>
          <w:i/>
          <w:color w:val="666666"/>
          <w:sz w:val="18"/>
        </w:rPr>
        <w:t>Mosquera I et al.  ·  Cancer Control  ·  02.09.2026  ·  PMID 42683830</w:t>
      </w:r>
    </w:p>
    <w:p>
      <w:r>
        <w:t>Implementierungsstudienprotokoll zur Kapazität von Gesundheitssystemen, HPV-Impfung und HPV-basiertes Screening kombiniert für vulnerable Gruppen (25–45 Jahre) in Spanien, Schweden, Dänemark, Rumänien und Frankreich anzubieten.</w:t>
      </w:r>
    </w:p>
    <w:p>
      <w:r>
        <w:rPr>
          <w:b/>
        </w:rPr>
        <w:t xml:space="preserve">Ergebnis: </w:t>
      </w:r>
      <w:r>
        <w:t>Protokoll umfasst Schreibtischreview, Vor-Ort-Prüfungen und Stakeholder-Interviews. Ziel: Systemkapazität messen und Strategien zur HPV-Schneller-Elimination in Europa tailoriert stärken. Studie läuft.</w:t>
      </w:r>
    </w:p>
    <w:p>
      <w:r>
        <w:rPr>
          <w:b/>
          <w:sz w:val="19"/>
        </w:rPr>
        <w:t xml:space="preserve">Übertragbarkeit: </w:t>
      </w:r>
      <w:r>
        <w:rPr>
          <w:sz w:val="19"/>
        </w:rPr>
        <w:t>Mehrere europäische Länder (DACH-nahes System), vergleichbare nationale Gesundheitssysteme</w:t>
      </w:r>
    </w:p>
    <w:p>
      <w:r>
        <w:rPr>
          <w:color w:val="5A7D3A"/>
          <w:sz w:val="18"/>
        </w:rPr>
        <w:t>https://pubmed.ncbi.nlm.nih.gov/42683830/</w:t>
      </w:r>
    </w:p>
    <w:p>
      <w:pPr>
        <w:pStyle w:val="Heading1"/>
      </w:pPr>
      <w:r>
        <w:t>Aufgenommen am 24.09.2026</w:t>
      </w:r>
    </w:p>
    <w:p>
      <w:pPr>
        <w:pStyle w:val="Heading2"/>
      </w:pPr>
      <w:r>
        <w:t>COVID-19-Impfung: Alter und Bildung bestimmen Annahme in Ostpolen stärker als Lebensstil</w:t>
      </w:r>
    </w:p>
    <w:p>
      <w:r>
        <w:rPr>
          <w:i/>
          <w:color w:val="666666"/>
          <w:sz w:val="18"/>
        </w:rPr>
        <w:t>Karczmarz S et al.  ·  Med Sci Monit  ·  23.09.2026  ·  PMID 42776929</w:t>
      </w:r>
    </w:p>
    <w:p>
      <w:r>
        <w:t>Querschnittsstudie an 458 Primärversorgungspatienten in Polen untersuchte, welche Faktoren mit vollständiger COVID-19-Impfung assoziiert sind.</w:t>
      </w:r>
    </w:p>
    <w:p>
      <w:r>
        <w:rPr>
          <w:b/>
        </w:rPr>
        <w:t xml:space="preserve">Ergebnis: </w:t>
      </w:r>
      <w:r>
        <w:t>Vollständige Impfung war assoziiert mit höherem Alter, höherer Bildung und Rentnerstatus; ländlicher Wohnort zeigte unerwartet höhere Impfquote als urban; Lifestyle-Profile zeigten keine konsistente unabhängige Assoziation mit Impfstatus.</w:t>
      </w:r>
    </w:p>
    <w:p>
      <w:r>
        <w:rPr>
          <w:b/>
          <w:sz w:val="19"/>
        </w:rPr>
        <w:t xml:space="preserve">Übertragbarkeit: </w:t>
      </w:r>
      <w:r>
        <w:rPr>
          <w:sz w:val="19"/>
        </w:rPr>
        <w:t>Polen, vergleichbares Versicherungssystem, dokumentiert Rollen von Zugang und Vertrauen</w:t>
      </w:r>
    </w:p>
    <w:p>
      <w:r>
        <w:rPr>
          <w:color w:val="5A7D3A"/>
          <w:sz w:val="18"/>
        </w:rPr>
        <w:t>https://pubmed.ncbi.nlm.nih.gov/42776929/</w:t>
      </w:r>
    </w:p>
    <w:p>
      <w:pPr>
        <w:pStyle w:val="Heading2"/>
      </w:pPr>
      <w:r>
        <w:t>Moderate bis hohe körperliche Aktivität verstärkt COVID-19-Antikörperreaktion unmittelbar nach Impfung</w:t>
      </w:r>
    </w:p>
    <w:p>
      <w:r>
        <w:rPr>
          <w:i/>
          <w:color w:val="666666"/>
          <w:sz w:val="18"/>
        </w:rPr>
        <w:t>Voulgaridi I et al.  ·  Front Public Health  ·  08.09.2026  ·  PMID 42774463</w:t>
      </w:r>
    </w:p>
    <w:p>
      <w:r>
        <w:t>Längsschnitt-Kohortenstudie mit 641 Erwachsenen untersuchte Assoziation zwischen Bewegungsaktivität und Anti-SARS-CoV-2-IgG/IgA-Antikörpern an den Tagen 21, 42, 90 und 180 nach COVID-19-Impfung.</w:t>
      </w:r>
    </w:p>
    <w:p>
      <w:r>
        <w:rPr>
          <w:b/>
        </w:rPr>
        <w:t xml:space="preserve">Ergebnis: </w:t>
      </w:r>
      <w:r>
        <w:t>IgG-Seropositividät an Tag 21 war höher bei moderater (92,6%) oder hoher (97,0%) Aktivität als bei niedriger (70,4%, p&lt;0,001); älteres Alter mit reduzierten IgG-Titern assoziiert (alle Zeitpunkte p&lt;0,001); Komorbidität mit niedrigeren Titern verknüpft.</w:t>
      </w:r>
    </w:p>
    <w:p>
      <w:r>
        <w:rPr>
          <w:b/>
          <w:sz w:val="19"/>
        </w:rPr>
        <w:t xml:space="preserve">Übertragbarkeit: </w:t>
      </w:r>
      <w:r>
        <w:rPr>
          <w:sz w:val="19"/>
        </w:rPr>
        <w:t>Griechenland, europäisches Gesundheitssystem, vergleichbare Impfprogramme</w:t>
      </w:r>
    </w:p>
    <w:p>
      <w:r>
        <w:rPr>
          <w:color w:val="5A7D3A"/>
          <w:sz w:val="18"/>
        </w:rPr>
        <w:t>https://pubmed.ncbi.nlm.nih.gov/42774463/</w:t>
      </w:r>
    </w:p>
    <w:p>
      <w:pPr>
        <w:pStyle w:val="Heading2"/>
      </w:pPr>
      <w:r>
        <w:t>Tdap-Sicherheit im VAERS-Register: Radiculitis bei Frauen erhöht, aber Schwangerschaft und Alter unbedenklich</w:t>
      </w:r>
    </w:p>
    <w:p>
      <w:r>
        <w:rPr>
          <w:i/>
          <w:color w:val="666666"/>
          <w:sz w:val="18"/>
        </w:rPr>
        <w:t>Song W et al.  ·  Front Cell Infect Microbiol  ·  08.09.2026  ·  PMID 42774241</w:t>
      </w:r>
    </w:p>
    <w:p>
      <w:r>
        <w:t>Post-Marketing-Surveillance von 20.128 VAERS-Meldungen zu Tdap (2015–2025) mit Disproportionalitätsanalyse nach Alter, Geschlecht und Schwangerschaftsstatus.</w:t>
      </w:r>
    </w:p>
    <w:p>
      <w:r>
        <w:rPr>
          <w:b/>
        </w:rPr>
        <w:t xml:space="preserve">Ergebnis: </w:t>
      </w:r>
      <w:r>
        <w:t>95,8% nicht-schwerwiegende Fälle; häufigste Signale: Injektionsstelle Erythem und Ödem; 70,3% Ereignisse innerhalb 1 Tag; bei Schwangeren (n=744): keine unerwarteten Sicherheitssignale; Adoleszenten: Opisthotonus erhöht (ROR=8,55); nicht-schwangere Frauen: Brachialradiculitis (ROR=14,42) und Bursa-Flüssigkeitsansammlung (ROR=21,22) erhöht.</w:t>
      </w:r>
    </w:p>
    <w:p>
      <w:r>
        <w:rPr>
          <w:b/>
          <w:sz w:val="19"/>
        </w:rPr>
        <w:t xml:space="preserve">Übertragbarkeit: </w:t>
      </w:r>
      <w:r>
        <w:rPr>
          <w:sz w:val="19"/>
        </w:rPr>
        <w:t>USA-VAERS-Daten, aber Pharmakovigilanz-Methode international verwendbar</w:t>
      </w:r>
    </w:p>
    <w:p>
      <w:r>
        <w:rPr>
          <w:color w:val="5A7D3A"/>
          <w:sz w:val="18"/>
        </w:rPr>
        <w:t>https://pubmed.ncbi.nlm.nih.gov/42774241/</w:t>
      </w:r>
    </w:p>
    <w:p>
      <w:pPr>
        <w:pStyle w:val="Heading2"/>
      </w:pPr>
      <w:r>
        <w:t>HPV16/18-Antikörper-Überwachung: Neutralisierungstest, cCLIA und IgG im Vergleich für Impfquoten-Monitoring</w:t>
      </w:r>
    </w:p>
    <w:p>
      <w:r>
        <w:rPr>
          <w:i/>
          <w:color w:val="666666"/>
          <w:sz w:val="18"/>
        </w:rPr>
        <w:t>Mao W et al.  ·  Front Immunol  ·  08.09.2026  ·  PMID 42774225</w:t>
      </w:r>
    </w:p>
    <w:p>
      <w:r>
        <w:t>Querschnitt- und Längsschnittstudie mit vollständig Geimpften und Ungeimpften verglich drei serologische Assays (Pseudovirionen-Neutralisierung, kompetitiver Chemilumineszenz-Immunoassay, indirekte IgG) für HPV16/18-Antikörper-Nachweis nach Vakzination.</w:t>
      </w:r>
    </w:p>
    <w:p>
      <w:r>
        <w:rPr>
          <w:b/>
        </w:rPr>
        <w:t xml:space="preserve">Ergebnis: </w:t>
      </w:r>
      <w:r>
        <w:t>Alle drei Assays reflektierten Impfantwort-Trends; cCLIA stabiler gegenüber Neutralisierungstest als IgG-Assay, besonders longitudinal und nach 2. Dosis; IgG zeigte niedrigere Stabilität für funktionale Klassifikation, aber konsistente Erfassung von Bevölkerungs-Reaktionen; persistente numerische Unterschiede bedeuten Assays nicht direkt austauschbar.</w:t>
      </w:r>
    </w:p>
    <w:p>
      <w:r>
        <w:rPr>
          <w:b/>
          <w:sz w:val="19"/>
        </w:rPr>
        <w:t xml:space="preserve">Übertragbarkeit: </w:t>
      </w:r>
      <w:r>
        <w:rPr>
          <w:sz w:val="19"/>
        </w:rPr>
        <w:t>China, aber Assay-Vergleich für HPV-Monitoring-Strategien europaweit relevant</w:t>
      </w:r>
    </w:p>
    <w:p>
      <w:r>
        <w:rPr>
          <w:color w:val="5A7D3A"/>
          <w:sz w:val="18"/>
        </w:rPr>
        <w:t>https://pubmed.ncbi.nlm.nih.gov/42774225/</w:t>
      </w:r>
    </w:p>
    <w:p>
      <w:pPr>
        <w:pStyle w:val="Heading2"/>
      </w:pPr>
      <w:r>
        <w:t>Hochdosis-Grippeimpfstoff für gebrechliche Ältere – Effektivität variiert nach Frailty-Risiko</w:t>
      </w:r>
    </w:p>
    <w:p>
      <w:r>
        <w:rPr>
          <w:i/>
          <w:color w:val="666666"/>
          <w:sz w:val="18"/>
        </w:rPr>
        <w:t>Espersen C et al.  ·  Lancet Healthy Longev  ·  17.09.2026  ·  PMID 42753782</w:t>
      </w:r>
    </w:p>
    <w:p>
      <w:r>
        <w:t>Prespecified Analyse der DANFLU-2-Studie mit 332.438 Personen ≥65 Jahren aus Dänemark verglich Hochdosis- vs. Standarddosis-Influenzavakzin nach Gebrechlichkeitsrisiko bezüglich Hospitalisierungen.</w:t>
      </w:r>
    </w:p>
    <w:p>
      <w:r>
        <w:rPr>
          <w:b/>
        </w:rPr>
        <w:t xml:space="preserve">Ergebnis: </w:t>
      </w:r>
      <w:r>
        <w:t>Bei niedriger Gebrechlichkeit: relative Vakzin-Effektivität (HD vs. SD) 0,2% (95% KI −10,8–10,2); bei mittlerer: 13,1% (−0,4–24,8); bei hoher: 19,9% (−10,3–42,1). Höhere Effektivitätsgewinne mit steigendem Gebrechlichkeitsrisiko, aber 95%-KIs überschreiten Null; Effekt-Modifikation nicht signifikant in vorgegebenen Kategorien.</w:t>
      </w:r>
    </w:p>
    <w:p>
      <w:r>
        <w:rPr>
          <w:b/>
          <w:sz w:val="19"/>
        </w:rPr>
        <w:t xml:space="preserve">Übertragbarkeit: </w:t>
      </w:r>
      <w:r>
        <w:rPr>
          <w:sz w:val="19"/>
        </w:rPr>
        <w:t>Dänemark, vergleichbares skandinavisches System mit Register und Krankenhausdaten</w:t>
      </w:r>
    </w:p>
    <w:p>
      <w:r>
        <w:rPr>
          <w:color w:val="5A7D3A"/>
          <w:sz w:val="18"/>
        </w:rPr>
        <w:t>https://pubmed.ncbi.nlm.nih.gov/42753782/</w:t>
      </w:r>
    </w:p>
    <w:p>
      <w:pPr>
        <w:pStyle w:val="Heading2"/>
      </w:pPr>
      <w:r>
        <w:t>Langzeitkomplikationen nach CAR-T-Zelltherapie: Infektionen und Sekundärmalignome überwiegen</w:t>
      </w:r>
    </w:p>
    <w:p>
      <w:r>
        <w:rPr>
          <w:i/>
          <w:color w:val="666666"/>
          <w:sz w:val="18"/>
        </w:rPr>
        <w:t>Eisenmann M et al.  ·  Curr Oncol  ·  01.08.2026  ·  PMID 42645366</w:t>
      </w:r>
    </w:p>
    <w:p>
      <w:r>
        <w:t>Scoping Review von 18 Primärstudien (2018 an) zu späten Nebenwirkungen (≥12 Monate nach Infusion) bei Patienten mit EMA-zugelassenen CAR-T-Produkten.</w:t>
      </w:r>
    </w:p>
    <w:p>
      <w:r>
        <w:rPr>
          <w:b/>
        </w:rPr>
        <w:t xml:space="preserve">Ergebnis: </w:t>
      </w:r>
      <w:r>
        <w:t>Spätkomplikationen konzentrierten sich auf Infektionen und Sekundärmalignome; Nicht-Rückfall-Mortalität in 7 Studien berichtet, Infektionen und Sekundärmalignome häufig als Todesursachen genannt; systematische Übersichtsarbeit ohne neue Ziffern, aber klare Kategorisierung der Evidenz.</w:t>
      </w:r>
    </w:p>
    <w:p>
      <w:r>
        <w:rPr>
          <w:b/>
          <w:sz w:val="19"/>
        </w:rPr>
        <w:t xml:space="preserve">Übertragbarkeit: </w:t>
      </w:r>
      <w:r>
        <w:rPr>
          <w:sz w:val="19"/>
        </w:rPr>
        <w:t>Europa, EMA-Daten, aber Übersicht ohne neue empirische Effekte – nur für Systemwissen</w:t>
      </w:r>
    </w:p>
    <w:p>
      <w:r>
        <w:rPr>
          <w:color w:val="5A7D3A"/>
          <w:sz w:val="18"/>
        </w:rPr>
        <w:t>https://pubmed.ncbi.nlm.nih.gov/42645366/</w:t>
      </w:r>
    </w:p>
    <w:p>
      <w:pPr>
        <w:pStyle w:val="Heading1"/>
      </w:pPr>
      <w:r>
        <w:t>Aufgenommen am 23.09.2026</w:t>
      </w:r>
    </w:p>
    <w:p>
      <w:pPr>
        <w:pStyle w:val="Heading2"/>
      </w:pPr>
      <w:r>
        <w:t>Impfkettenmanagement in koreanischen Gesundheitseinrichtungen: Defizite bei Temperaturüberwachung und Notstrom</w:t>
      </w:r>
    </w:p>
    <w:p>
      <w:r>
        <w:rPr>
          <w:i/>
          <w:color w:val="666666"/>
          <w:sz w:val="18"/>
        </w:rPr>
        <w:t>Kang CR et al.  ·  J Korean Med Sci  ·  21.09.2026  ·  PMID 42773072</w:t>
      </w:r>
    </w:p>
    <w:p>
      <w:r>
        <w:t>Nationale Querschnittserhebung zur Evaluierung der Impfkühllager-Praktiken in 53 südkoreanischen Immunisierungsanbietern (43 private Einrichtungen, 10 öffentliche Gesundheitszentren).</w:t>
      </w:r>
    </w:p>
    <w:p>
      <w:r>
        <w:rPr>
          <w:b/>
        </w:rPr>
        <w:t xml:space="preserve">Ergebnis: </w:t>
      </w:r>
      <w:r>
        <w:t>Alle Einrichtungen hatten dedizierte Impfkühlschränke (100 %), aber nur 73,6 % kontinuierliche Temperaturüberwachung auf allen Geräten; Alarmsysteme in 83,0 %; Notfallpläne in 52,8 %, regelmäßig getestet nur 40,9 %. Dokumentation und Entsorgung erfolgten regelkonform, aber Infrastruktur-Sicherheit ist lückenhaft.</w:t>
      </w:r>
    </w:p>
    <w:p>
      <w:r>
        <w:rPr>
          <w:b/>
          <w:sz w:val="19"/>
        </w:rPr>
        <w:t xml:space="preserve">Übertragbarkeit: </w:t>
      </w:r>
      <w:r>
        <w:rPr>
          <w:sz w:val="19"/>
        </w:rPr>
        <w:t>Südkorea, vergleichbare Infrastruktur-Herausforderungen, nicht direktes Deutschland-Modell</w:t>
      </w:r>
    </w:p>
    <w:p>
      <w:r>
        <w:rPr>
          <w:color w:val="5A7D3A"/>
          <w:sz w:val="18"/>
        </w:rPr>
        <w:t>https://pubmed.ncbi.nlm.nih.gov/42773072/</w:t>
      </w:r>
    </w:p>
    <w:p>
      <w:pPr>
        <w:pStyle w:val="Heading2"/>
      </w:pPr>
      <w:r>
        <w:t>COVID-19-Impfeffektivität: Test-negativ vs. Kohortenstudien liefern vergleichbare Ergebnisse</w:t>
      </w:r>
    </w:p>
    <w:p>
      <w:r>
        <w:rPr>
          <w:i/>
          <w:color w:val="666666"/>
          <w:sz w:val="18"/>
        </w:rPr>
        <w:t>Sukik L et al.  ·  Int J Epidemiol  ·  18.08.2026  ·  PMID 42772774</w:t>
      </w:r>
    </w:p>
    <w:p>
      <w:r>
        <w:t>Direkter Methodenvergleich: Test-negativ-Fall-Kontroll- vs. retrospektive Kohortenstudien zur COVID-19-Impfeffektivität in Katar mit identischer Population und Datenquelle.</w:t>
      </w:r>
    </w:p>
    <w:p>
      <w:r>
        <w:rPr>
          <w:b/>
        </w:rPr>
        <w:t xml:space="preserve">Ergebnis: </w:t>
      </w:r>
      <w:r>
        <w:t>BNT162b2-Effektivität gegen Infektion im Test-negativ-Design 71,0 % vs. Kohorten-Design 78,0 % (nach Korrektur für Testrate); gegen schwere COVID-19 96,3 % vs. 98,0 %. Beide Designs zeigten ähnliche Wirksamkeitsverluste. Methodische Unterschiede sind kleiner als erwartet.</w:t>
      </w:r>
    </w:p>
    <w:p>
      <w:r>
        <w:rPr>
          <w:b/>
          <w:sz w:val="19"/>
        </w:rPr>
        <w:t xml:space="preserve">Übertragbarkeit: </w:t>
      </w:r>
      <w:r>
        <w:rPr>
          <w:sz w:val="19"/>
        </w:rPr>
        <w:t>Katar (nicht Deutschland), aber Methodenvergleich für alle Impfstoff-Studien übertragbar</w:t>
      </w:r>
    </w:p>
    <w:p>
      <w:r>
        <w:rPr>
          <w:color w:val="5A7D3A"/>
          <w:sz w:val="18"/>
        </w:rPr>
        <w:t>https://pubmed.ncbi.nlm.nih.gov/42772774/</w:t>
      </w:r>
    </w:p>
    <w:p>
      <w:pPr>
        <w:pStyle w:val="Heading2"/>
      </w:pPr>
      <w:r>
        <w:t>WHO-Einfachdosis-Empfehlung für HPV-Impfung erhöhte Ländereinführungen um 22 weitere Länder</w:t>
      </w:r>
    </w:p>
    <w:p>
      <w:r>
        <w:rPr>
          <w:i/>
          <w:color w:val="666666"/>
          <w:sz w:val="18"/>
        </w:rPr>
        <w:t>Suh J et al.  ·  Expert Rev Vaccines  ·  22.09.2026  ·  PMID 42770688</w:t>
      </w:r>
    </w:p>
    <w:p>
      <w:r>
        <w:t>Analyse von Einflussfaktoren auf nationale HPV-Impfstoff-Einführungsraten in Ländern mit niedrigem und mittlerem Einkommen 2006–2025 mittels GLM und Changepoint-Analyse.</w:t>
      </w:r>
    </w:p>
    <w:p>
      <w:r>
        <w:rPr>
          <w:b/>
        </w:rPr>
        <w:t xml:space="preserve">Ergebnis: </w:t>
      </w:r>
      <w:r>
        <w:t>WHO-Einfachdosis-Empfehlung 2022 war der stärkste assoziierte Faktor; Gavi-Finanzierungserweiterung (2017–2025) auch bedeutsam. Modellprognosen: 22,46 zusätzliche nationale HPV-Impfstoff-Einführungen in LMIC allein durch die Einfachdosis-Empfehlung. Signifikanter Anstieg 2022.</w:t>
      </w:r>
    </w:p>
    <w:p>
      <w:r>
        <w:rPr>
          <w:b/>
          <w:sz w:val="19"/>
        </w:rPr>
        <w:t xml:space="preserve">Übertragbarkeit: </w:t>
      </w:r>
      <w:r>
        <w:rPr>
          <w:sz w:val="19"/>
        </w:rPr>
        <w:t>Globale Politikanalyse, zeigt Hebel für Impfprogramme weltweit, nicht Deutschland-spezifisch</w:t>
      </w:r>
    </w:p>
    <w:p>
      <w:r>
        <w:rPr>
          <w:color w:val="5A7D3A"/>
          <w:sz w:val="18"/>
        </w:rPr>
        <w:t>https://pubmed.ncbi.nlm.nih.gov/42770688/</w:t>
      </w:r>
    </w:p>
    <w:p>
      <w:pPr>
        <w:pStyle w:val="Heading2"/>
      </w:pPr>
      <w:r>
        <w:t>Impfablehnung in der Türkei: Eltern und Gesundheitspersonal berichten von Vertrauenskrise</w:t>
      </w:r>
    </w:p>
    <w:p>
      <w:r>
        <w:rPr>
          <w:i/>
          <w:color w:val="666666"/>
          <w:sz w:val="18"/>
        </w:rPr>
        <w:t>Sezer E et al.  ·  Front Public Health  ·  07.09.2026  ·  PMID 42769268</w:t>
      </w:r>
    </w:p>
    <w:p>
      <w:r>
        <w:t>Qualitative Studie mit 19 impfablehnenden Eltern und 21 Fachpersonen (Ärzte, Hebammen) zur Erkundung von Gründen und strukturellen Barrieren für Impfverweigerung in der Türkei 2017.</w:t>
      </w:r>
    </w:p>
    <w:p>
      <w:r>
        <w:rPr>
          <w:b/>
        </w:rPr>
        <w:t xml:space="preserve">Ergebnis: </w:t>
      </w:r>
      <w:r>
        <w:t>Vier zentrale ethische Spannungsfelder: (1) Lücke zwischen informierter Ablehnung und uninformierter Wahl durch Informationsasymmetrie; (2) Vertrauenskrise in Gesundheitsinstitutionen durch leistungsbasierte Bezahlung von Ärzten; (3) Konflikt zwischen religiöser und medizinischer Autorität; (4) angefochtene elterliche Autonomie in patriarchalen Strukturen. Leistungsbezahlte Ärzte dokumentieren lieber, als dass sie Gespräche führen.</w:t>
      </w:r>
    </w:p>
    <w:p>
      <w:r>
        <w:rPr>
          <w:b/>
          <w:sz w:val="19"/>
        </w:rPr>
        <w:t xml:space="preserve">Übertragbarkeit: </w:t>
      </w:r>
      <w:r>
        <w:rPr>
          <w:sz w:val="19"/>
        </w:rPr>
        <w:t>Türkei (LMIC), strukturelle Probleme aber in allen Systemen mit Leistungsvergütung relevant</w:t>
      </w:r>
    </w:p>
    <w:p>
      <w:r>
        <w:rPr>
          <w:color w:val="5A7D3A"/>
          <w:sz w:val="18"/>
        </w:rPr>
        <w:t>https://pubmed.ncbi.nlm.nih.gov/42769268/</w:t>
      </w:r>
    </w:p>
    <w:p>
      <w:pPr>
        <w:pStyle w:val="Heading2"/>
      </w:pPr>
      <w:r>
        <w:t>Adenovirus-Serotyp-Wechsel steigerte Ebola-Impfstoff-Immunantwort in Mäusen</w:t>
      </w:r>
    </w:p>
    <w:p>
      <w:r>
        <w:rPr>
          <w:i/>
          <w:color w:val="666666"/>
          <w:sz w:val="18"/>
        </w:rPr>
        <w:t>Wiggins J et al.  ·  J Med Virol  ·  Sept. 2026  ·  PMID 42765626</w:t>
      </w:r>
    </w:p>
    <w:p>
      <w:r>
        <w:t>Vergleichende Laborstu die mit verschiedenen Adenovirus-Vektoren und Immunisierungsrouten zur Optimierung der Ebolavirus-Glykoproteinin-Immunogenität.</w:t>
      </w:r>
    </w:p>
    <w:p>
      <w:r>
        <w:rPr>
          <w:b/>
        </w:rPr>
        <w:t xml:space="preserve">Ergebnis: </w:t>
      </w:r>
      <w:r>
        <w:t>Species-C-Vektoren (Ad5, Ad6) zeigten starke Antikörperreaktionen und schnelle Klassenumwandlung zu IgG im Vergleich zu Species B und D. Serotyp-Wechsel-Schemata erhöhten Antikörperniveaus und erzeugte robuste T-Zell-Reaktionen bei intramuskulärer Gabe. Intranasale Gabe induzierte nachweisbares IgA, aber keine messbaren T-Zell-Antworten – routenabhängige Immunkompartimentalisierung.</w:t>
      </w:r>
    </w:p>
    <w:p>
      <w:r>
        <w:rPr>
          <w:b/>
          <w:sz w:val="19"/>
        </w:rPr>
        <w:t xml:space="preserve">Übertragbarkeit: </w:t>
      </w:r>
      <w:r>
        <w:rPr>
          <w:sz w:val="19"/>
        </w:rPr>
        <w:t>Präklinische Mausstudien, Impfstoff-Entwicklungsphase, keine direkten Versorgungsdaten</w:t>
      </w:r>
    </w:p>
    <w:p>
      <w:r>
        <w:rPr>
          <w:color w:val="5A7D3A"/>
          <w:sz w:val="18"/>
        </w:rPr>
        <w:t>https://pubmed.ncbi.nlm.nih.gov/42765626/</w:t>
      </w:r>
    </w:p>
    <w:p>
      <w:pPr>
        <w:pStyle w:val="Heading2"/>
      </w:pPr>
      <w:r>
        <w:t>MMR-Impf-Anaphylaxie durch Schweineglatine: Fallbericht und praktische Empfehlungen</w:t>
      </w:r>
    </w:p>
    <w:p>
      <w:r>
        <w:rPr>
          <w:i/>
          <w:color w:val="666666"/>
          <w:sz w:val="18"/>
        </w:rPr>
        <w:t>Iordachescu M et al.  ·  Rev Med Liege  ·  Sept. 2026  ·  PMID 42751843</w:t>
      </w:r>
    </w:p>
    <w:p>
      <w:r>
        <w:t>Zwei pädiatrische Fallberichte von Anaphylaxie nach M-M-RVaxPro®-Impfung, zugeordnet der Schweineglatine (14,5 mg/Dosis) als Stabilisator.</w:t>
      </w:r>
    </w:p>
    <w:p>
      <w:r>
        <w:rPr>
          <w:b/>
        </w:rPr>
        <w:t xml:space="preserve">Ergebnis: </w:t>
      </w:r>
      <w:r>
        <w:t>Beide Patienten entwickelten schwere Reaktionen nach Auffrischung mit positiven Haut- und Bluttests für Gelatin; Allergien gegen Neomycin, Latex und Chlorhexidin ausgeschlossen. Empfehlungen: Vermeidung gelatinehaltiger Impfstoffe, Substitution mit gelatinefreien Alternativen (Priorix®), orale Herausforderungsprobe für Lebensmitteltoleranz, Epinephrin-Notfallset, Spitalüberwachung bei Mastzellstörungen.</w:t>
      </w:r>
    </w:p>
    <w:p>
      <w:r>
        <w:rPr>
          <w:b/>
          <w:sz w:val="19"/>
        </w:rPr>
        <w:t xml:space="preserve">Übertragbarkeit: </w:t>
      </w:r>
      <w:r>
        <w:rPr>
          <w:sz w:val="19"/>
        </w:rPr>
        <w:t>Belgien, europäische Fallberichte, Sicherheitserkenntnis für alle Mastzell-Erkrankungen</w:t>
      </w:r>
    </w:p>
    <w:p>
      <w:r>
        <w:rPr>
          <w:color w:val="5A7D3A"/>
          <w:sz w:val="18"/>
        </w:rPr>
        <w:t>https://pubmed.ncbi.nlm.nih.gov/42751843/</w:t>
      </w:r>
    </w:p>
    <w:p>
      <w:pPr>
        <w:pStyle w:val="Heading2"/>
      </w:pPr>
      <w:r>
        <w:t>RSV-Impfstoff verhinderte 70 % der Hospitalisierungen bei Erwachsenen</w:t>
      </w:r>
    </w:p>
    <w:p>
      <w:r>
        <w:rPr>
          <w:i/>
          <w:color w:val="666666"/>
          <w:sz w:val="18"/>
        </w:rPr>
        <w:t>Lassen MCH et al.  ·  NEJM Evid  ·  29.08.2026  ·  PMID 42666095</w:t>
      </w:r>
    </w:p>
    <w:p>
      <w:r>
        <w:t>Pragmatische randomisierte Studie zum Schutz der bivalenten RSV-Präfusion-F-Impfung vor RSV-Hospitalisierung in Dänemark und Spanien.</w:t>
      </w:r>
    </w:p>
    <w:p>
      <w:r>
        <w:rPr>
          <w:b/>
        </w:rPr>
        <w:t xml:space="preserve">Ergebnis: </w:t>
      </w:r>
      <w:r>
        <w:t>Von 513.358 randomisierten Teilnehmern lag die Impfeffektivität gegen RSV-Atemwegserkrankungen-Hospitalisierung bei 70,3 % (95 %-KI 49,7–83,2), gegen untere Atemwege bei 71,1 % (45,4–85,7). Schwere Nebenwirkungen traten in 2,0 % der Impfgruppe vs. 2,2 % der Kontrollgruppe auf – ein wirksamer und sicherer Impfstoff unter Alltagsbedingungen.</w:t>
      </w:r>
    </w:p>
    <w:p>
      <w:r>
        <w:rPr>
          <w:b/>
          <w:sz w:val="19"/>
        </w:rPr>
        <w:t xml:space="preserve">Übertragbarkeit: </w:t>
      </w:r>
      <w:r>
        <w:rPr>
          <w:sz w:val="19"/>
        </w:rPr>
        <w:t>Dänemark/Spanien, nationale Versicherungsdaten und Routineüberwachung, nicht USA-abhängig</w:t>
      </w:r>
    </w:p>
    <w:p>
      <w:r>
        <w:rPr>
          <w:color w:val="5A7D3A"/>
          <w:sz w:val="18"/>
        </w:rPr>
        <w:t>https://pubmed.ncbi.nlm.nih.gov/42666095/</w:t>
      </w:r>
    </w:p>
    <w:p>
      <w:pPr>
        <w:pStyle w:val="Heading1"/>
      </w:pPr>
      <w:r>
        <w:t>Aufgenommen am 22.09.2026</w:t>
      </w:r>
    </w:p>
    <w:p>
      <w:pPr>
        <w:pStyle w:val="Heading2"/>
      </w:pPr>
      <w:r>
        <w:t>Impfbelastung bei Kindern senken: Leitlinie 2026 zu Schmerz und Angst</w:t>
      </w:r>
    </w:p>
    <w:p>
      <w:r>
        <w:rPr>
          <w:i/>
          <w:color w:val="666666"/>
          <w:sz w:val="18"/>
        </w:rPr>
        <w:t>Taddio A et al.  ·  CMAJ  ·  20.09.2026  ·  PMID 42767684</w:t>
      </w:r>
    </w:p>
    <w:p>
      <w:r>
        <w:t>Systematische Übersichtsarbeiten zu 16 evidenzgestützten Empfehlungen gegen Impfangst und Schmerzen in fünf Domänen (Prozess, Technik, Körperlage, Medikament, Psychologie).</w:t>
      </w:r>
    </w:p>
    <w:p>
      <w:r>
        <w:rPr>
          <w:b/>
        </w:rPr>
        <w:t xml:space="preserve">Ergebnis: </w:t>
      </w:r>
      <w:r>
        <w:t>7 starke Empfehlungen mit moderater bis hoher Evidenz (z. B. mehrkomponentige Prozessinterventionen, orale Ernährung für Säuglinge); 9 bedingte Empfehlungen bei niedriger Evidenz. Empfehlungen zielgruppenspezifisch für Fachpersonen, Impflinge und Angehörige.</w:t>
      </w:r>
    </w:p>
    <w:p>
      <w:r>
        <w:rPr>
          <w:b/>
          <w:sz w:val="19"/>
        </w:rPr>
        <w:t xml:space="preserve">Übertragbarkeit: </w:t>
      </w:r>
      <w:r>
        <w:rPr>
          <w:sz w:val="19"/>
        </w:rPr>
        <w:t>Kanada, GRADE-Methodik, Impfpraxis in Hocheinkommensländern.</w:t>
      </w:r>
    </w:p>
    <w:p>
      <w:r>
        <w:rPr>
          <w:color w:val="5A7D3A"/>
          <w:sz w:val="18"/>
        </w:rPr>
        <w:t>https://pubmed.ncbi.nlm.nih.gov/42767684/</w:t>
      </w:r>
    </w:p>
    <w:p>
      <w:pPr>
        <w:pStyle w:val="Heading2"/>
      </w:pPr>
      <w:r>
        <w:t>HPV-Impfbereitschaft bei Frauen in Sierra Leone: hohe Akzeptanz trotz Wissenslücken</w:t>
      </w:r>
    </w:p>
    <w:p>
      <w:r>
        <w:rPr>
          <w:i/>
          <w:color w:val="666666"/>
          <w:sz w:val="18"/>
        </w:rPr>
        <w:t>Everman S et al.  ·  J Health Care Poor Underserved  ·  2026  ·  PMID 42766516</w:t>
      </w:r>
    </w:p>
    <w:p>
      <w:r>
        <w:t>Querschnittsstudie zur Akzeptanz der HPV-Impfung bei 189 Frauen in ländlichen und städtischen Gegenden Sierra Leones, untersucht Wissen über Gebärmutterhalskrebs und Impfverhalten.</w:t>
      </w:r>
    </w:p>
    <w:p>
      <w:r>
        <w:rPr>
          <w:b/>
        </w:rPr>
        <w:t xml:space="preserve">Ergebnis: </w:t>
      </w:r>
      <w:r>
        <w:t>Geringe Awareness für Gebärmutterhalskrebs und HPV-Impfung. Breite Willingness zur Impfung. Statistisch signifikante positive Assoziation zwischen formaler Bildung und Impfbereitschaft (p &lt; 0,01). Starke Präferenz für Schulmedizin.</w:t>
      </w:r>
    </w:p>
    <w:p>
      <w:r>
        <w:rPr>
          <w:b/>
          <w:sz w:val="19"/>
        </w:rPr>
        <w:t xml:space="preserve">Übertragbarkeit: </w:t>
      </w:r>
      <w:r>
        <w:rPr>
          <w:sz w:val="19"/>
        </w:rPr>
        <w:t>Wenig entwickelte Region, Impfakzeptanz ist Ausgangspunkt für Programmentwicklung.</w:t>
      </w:r>
    </w:p>
    <w:p>
      <w:r>
        <w:rPr>
          <w:color w:val="5A7D3A"/>
          <w:sz w:val="18"/>
        </w:rPr>
        <w:t>https://pubmed.ncbi.nlm.nih.gov/42766516/</w:t>
      </w:r>
    </w:p>
    <w:p>
      <w:pPr>
        <w:pStyle w:val="Heading2"/>
      </w:pPr>
      <w:r>
        <w:t>Saisonimpfung vor A(H5)-Impfung: marginal additivem Nutzen gegen pandemisches H5N1-Risiko</w:t>
      </w:r>
    </w:p>
    <w:p>
      <w:r>
        <w:rPr>
          <w:i/>
          <w:color w:val="666666"/>
          <w:sz w:val="18"/>
        </w:rPr>
        <w:t>Hatta M et al.  ·  Emerg Microbes Infect  ·  21.09.2026  ·  PMID 42765371</w:t>
      </w:r>
    </w:p>
    <w:p>
      <w:r>
        <w:t>Maus- und Frettchen-Modellstudie mit pandemischen H5N1-Viren (Klade 2.3.4.4b) zur Frage, ob saisonale Influenza-Impfung vor A(H5)-Impfung die Schutzwirkung verbessert.</w:t>
      </w:r>
    </w:p>
    <w:p>
      <w:r>
        <w:rPr>
          <w:b/>
        </w:rPr>
        <w:t xml:space="preserve">Ergebnis: </w:t>
      </w:r>
      <w:r>
        <w:t>Saisonale Impfung induzierte keine Antikörper gegen A(H5). Saisonale Impfung vor A(H5)-Impfung war in 1 von 3 Maus-Experimenten mit besseren Outcomes assoziiert, nicht aber in den anderen 2 Maus-Experimenten oder bei Frettchen. Begrenzte additive Vorteile.</w:t>
      </w:r>
    </w:p>
    <w:p>
      <w:r>
        <w:rPr>
          <w:b/>
          <w:sz w:val="19"/>
        </w:rPr>
        <w:t xml:space="preserve">Übertragbarkeit: </w:t>
      </w:r>
      <w:r>
        <w:rPr>
          <w:sz w:val="19"/>
        </w:rPr>
        <w:t>Präklinische Modelle, Pandemiebereitscha Deutschland für Ressourcenpriorisierung.</w:t>
      </w:r>
    </w:p>
    <w:p>
      <w:r>
        <w:rPr>
          <w:color w:val="5A7D3A"/>
          <w:sz w:val="18"/>
        </w:rPr>
        <w:t>https://pubmed.ncbi.nlm.nih.gov/42765371/</w:t>
      </w:r>
    </w:p>
    <w:p>
      <w:pPr>
        <w:pStyle w:val="Heading2"/>
      </w:pPr>
      <w:r>
        <w:t>Influenza- und Pneumokokken-Impfungen in Südafrika 2017–2021: COVID-19 beeinflusste Versorgungsmuster</w:t>
      </w:r>
    </w:p>
    <w:p>
      <w:r>
        <w:rPr>
          <w:i/>
          <w:color w:val="666666"/>
          <w:sz w:val="18"/>
        </w:rPr>
        <w:t>Truter I et al.  ·  Pharmacoepidemiol Drug Saf  ·  Okt. 2026  ·  PMID 42764173</w:t>
      </w:r>
    </w:p>
    <w:p>
      <w:r>
        <w:t>Longitudinale pharmakoepidemiologische Studie zu Abgabemengen von Influenza- und Pneumokokken-Impfstoffen in privaten Krankenversicherungsdaten Südafrikas (3,8 Mio. Versicherte).</w:t>
      </w:r>
    </w:p>
    <w:p>
      <w:r>
        <w:rPr>
          <w:b/>
        </w:rPr>
        <w:t xml:space="preserve">Ergebnis: </w:t>
      </w:r>
      <w:r>
        <w:t>Jährliche Abgabemuster unterschieden sich signifikant (p &lt; 0,01), Influenza-Impfung hauptsächlich März–Juni. Post-COVID-19 (2020–2021): signifikant mehr Influenza-Impfungen März–Juni (p &lt; 0,01), leichte Zunahme Pneumokokken-Impfungen (p &lt; 0,05). COVID-19-Impfung hatte insgesamt keinen signifikanten Effekt auf die Muster.</w:t>
      </w:r>
    </w:p>
    <w:p>
      <w:r>
        <w:rPr>
          <w:b/>
          <w:sz w:val="19"/>
        </w:rPr>
        <w:t xml:space="preserve">Übertragbarkeit: </w:t>
      </w:r>
      <w:r>
        <w:rPr>
          <w:sz w:val="19"/>
        </w:rPr>
        <w:t>Südafrika, Versicherungsdaten, Versorgungsrealität im Privatsektor.</w:t>
      </w:r>
    </w:p>
    <w:p>
      <w:r>
        <w:rPr>
          <w:color w:val="5A7D3A"/>
          <w:sz w:val="18"/>
        </w:rPr>
        <w:t>https://pubmed.ncbi.nlm.nih.gov/42764173/</w:t>
      </w:r>
    </w:p>
    <w:p>
      <w:pPr>
        <w:pStyle w:val="Heading2"/>
      </w:pPr>
      <w:r>
        <w:t>Influenza-Impfeffektivität bei Kindern in der Primärversorgung: 79 % Schutz vor laborbestätigter Erkrankung</w:t>
      </w:r>
    </w:p>
    <w:p>
      <w:r>
        <w:rPr>
          <w:i/>
          <w:color w:val="666666"/>
          <w:sz w:val="18"/>
        </w:rPr>
        <w:t>Barretta M et al.  ·  Clin Microbiol Infect  ·  11.07.2026  ·  PMID 42435855</w:t>
      </w:r>
    </w:p>
    <w:p>
      <w:r>
        <w:t>Multizenterstudie unter italienischen Kinderärzten zur Influenza-Impfeffektivität in der ambulanten Versorgung während der Saison 2024/2025.</w:t>
      </w:r>
    </w:p>
    <w:p>
      <w:r>
        <w:rPr>
          <w:b/>
        </w:rPr>
        <w:t xml:space="preserve">Ergebnis: </w:t>
      </w:r>
      <w:r>
        <w:t>79 % Reduktion von laborbestätigter Influenza bei geimpften vs. ungeimpften Kindern (95%-KI: 70–86 %). Kohorten-Analyse zeigte 76 % VE (95%-KI: 67–82 %). Effektivität konsistent für unterschiedliche Impfstofftypen und Testmethoden. Kein Schutz vor nicht-influenzabedingten Atemwegsinfekten.</w:t>
      </w:r>
    </w:p>
    <w:p>
      <w:r>
        <w:rPr>
          <w:b/>
          <w:sz w:val="19"/>
        </w:rPr>
        <w:t xml:space="preserve">Übertragbarkeit: </w:t>
      </w:r>
      <w:r>
        <w:rPr>
          <w:sz w:val="19"/>
        </w:rPr>
        <w:t>Italien, vergleichbare pädiatrische Versorgungsstrukturen, Praxisdaten.</w:t>
      </w:r>
    </w:p>
    <w:p>
      <w:r>
        <w:rPr>
          <w:color w:val="5A7D3A"/>
          <w:sz w:val="18"/>
        </w:rPr>
        <w:t>https://pubmed.ncbi.nlm.nih.gov/42435855/</w:t>
      </w:r>
    </w:p>
    <w:p>
      <w:pPr>
        <w:pStyle w:val="Heading1"/>
      </w:pPr>
      <w:r>
        <w:t>Aufgenommen am 21.09.2026</w:t>
      </w:r>
    </w:p>
    <w:p>
      <w:pPr>
        <w:pStyle w:val="Heading2"/>
      </w:pPr>
      <w:r>
        <w:t>Impfstoffsicherheit: Meningokokken-B und Routineimpfungen bei Säuglingen</w:t>
      </w:r>
    </w:p>
    <w:p>
      <w:r>
        <w:rPr>
          <w:i/>
          <w:color w:val="666666"/>
          <w:sz w:val="18"/>
        </w:rPr>
        <w:t>Nguyen T et al.  ·  Med J Aust  ·  Sept. 2026  ·  PMID 42764145</w:t>
      </w:r>
    </w:p>
    <w:p>
      <w:r>
        <w:t>Die Studie vergleicht Sicherheit und Reaktionen bei gleichzeitiger oder separater Verabreichung von Meningokokken-B-Impfstoff mit anderen Säuglingsimpfungen an 2-, 4-, 6- und 12 Monaten.</w:t>
      </w:r>
    </w:p>
    <w:p>
      <w:r>
        <w:rPr>
          <w:b/>
        </w:rPr>
        <w:t xml:space="preserve">Ergebnis: </w:t>
      </w:r>
      <w:r>
        <w:t>Bei 10.959 Säuglingen war die kumulative Rate unerwünschter Ereignisse nach gleichzeitiger Gabe bei 2 Monaten niedriger (29 % vs. 35 %, Risikodifferenz −6,7 %), bei 4, 6 und 12 Monaten vergleichbar. Ärztliche Konsultationen waren bei 12 Monaten unter gleichzeitiger Gabe seltener (4,1 % vs. 6,3 %). Separate Verabreichung reduziert nicht, kann aber die Reaktionslast erhöhen.</w:t>
      </w:r>
    </w:p>
    <w:p>
      <w:r>
        <w:rPr>
          <w:b/>
          <w:sz w:val="19"/>
        </w:rPr>
        <w:t xml:space="preserve">Übertragbarkeit: </w:t>
      </w:r>
      <w:r>
        <w:rPr>
          <w:sz w:val="19"/>
        </w:rPr>
        <w:t>Australien, vergleichbare Surveillance-Methodik über Online-Befragung anwendbar</w:t>
      </w:r>
    </w:p>
    <w:p>
      <w:r>
        <w:rPr>
          <w:color w:val="5A7D3A"/>
          <w:sz w:val="18"/>
        </w:rPr>
        <w:t>https://pubmed.ncbi.nlm.nih.gov/42764145/</w:t>
      </w:r>
    </w:p>
    <w:p>
      <w:pPr>
        <w:pStyle w:val="Heading2"/>
      </w:pPr>
      <w:r>
        <w:t>SARS-CoV-2 Langzeitschutz: MVA-Impfung erreicht mRNA-Niveau</w:t>
      </w:r>
    </w:p>
    <w:p>
      <w:r>
        <w:rPr>
          <w:i/>
          <w:color w:val="666666"/>
          <w:sz w:val="18"/>
        </w:rPr>
        <w:t>Pérez P et al.  ·  Front Immunol  ·  31.08.2026  ·  PMID 42741364</w:t>
      </w:r>
    </w:p>
    <w:p>
      <w:r>
        <w:t>Studie vergleicht Langzeitimmunität und Schutzwirkung nach homologer oder heterologer mRNA- und MVA-Impfung gegen XBB.1.5 in K18-hACE2-Mäusen über 9 Monate.</w:t>
      </w:r>
    </w:p>
    <w:p>
      <w:r>
        <w:rPr>
          <w:b/>
        </w:rPr>
        <w:t xml:space="preserve">Ergebnis: </w:t>
      </w:r>
      <w:r>
        <w:t>Alle Zwei-Dosen-Regimen reduzierten viral RNA und infektiöse Viruslast in oberen und unteren Atemwegen nach Challenge markant und vergleichbar. Bindungs-IgG blieb über 9 Monate hoch, neutralisierende Antikörper nahmen ab. mRNA/MVA-Heterologer Regimen zeigte Trend zu besserer CD8+-T-Zell-Persistenz. MVA als thermostabiler und kostengünstiger Kandidat bestätigt.</w:t>
      </w:r>
    </w:p>
    <w:p>
      <w:r>
        <w:rPr>
          <w:b/>
          <w:sz w:val="19"/>
        </w:rPr>
        <w:t xml:space="preserve">Übertragbarkeit: </w:t>
      </w:r>
      <w:r>
        <w:rPr>
          <w:sz w:val="19"/>
        </w:rPr>
        <w:t>Experimentell in Mäusen; Strategie für globale thermostabile Impfstoffversorgung relevant</w:t>
      </w:r>
    </w:p>
    <w:p>
      <w:r>
        <w:rPr>
          <w:color w:val="5A7D3A"/>
          <w:sz w:val="18"/>
        </w:rPr>
        <w:t>https://pubmed.ncbi.nlm.nih.gov/42741364/</w:t>
      </w:r>
    </w:p>
    <w:p>
      <w:pPr>
        <w:pStyle w:val="Heading2"/>
      </w:pPr>
      <w:r>
        <w:t>Digitale Impfdienste in Impfzentren: Strategien zur Effizienzsteigerung</w:t>
      </w:r>
    </w:p>
    <w:p>
      <w:r>
        <w:rPr>
          <w:i/>
          <w:color w:val="666666"/>
          <w:sz w:val="18"/>
        </w:rPr>
        <w:t>Song YF et al.  ·  Zhonghua Yu Fang Yi Xue Za Zhi  ·  06.09.2026  ·  PMID 42736157</w:t>
      </w:r>
    </w:p>
    <w:p>
      <w:r>
        <w:t>Chinesische Systemanalyse zu Strategien und Praktiken für digitale Services in Impfzentren, um Versorgungsqualität und Effizienz zu verbessern.</w:t>
      </w:r>
    </w:p>
    <w:p>
      <w:r>
        <w:rPr>
          <w:b/>
        </w:rPr>
        <w:t xml:space="preserve">Ergebnis: </w:t>
      </w:r>
      <w:r>
        <w:t>Artikel definiert digitale Impfdienste systematisch als Antwort auf steigende Impfstoffvielfalt, höhere Bevölkerungsmobilität und diversifizierte Impfbedarfe. Hauptkomponenten sind digitale Verwaltung, Planung und Patientenmanagement. Implementierungsempfehlungen zielen auf Verbesserung von Verwaltungseffizienz und Servicequalität.</w:t>
      </w:r>
    </w:p>
    <w:p>
      <w:r>
        <w:rPr>
          <w:b/>
          <w:sz w:val="19"/>
        </w:rPr>
        <w:t xml:space="preserve">Übertragbarkeit: </w:t>
      </w:r>
      <w:r>
        <w:rPr>
          <w:sz w:val="19"/>
        </w:rPr>
        <w:t>China; Systemansatz übertragbar auf Optimierung der Impflogistik in Gesundheitssystemen</w:t>
      </w:r>
    </w:p>
    <w:p>
      <w:r>
        <w:rPr>
          <w:color w:val="5A7D3A"/>
          <w:sz w:val="18"/>
        </w:rPr>
        <w:t>https://pubmed.ncbi.nlm.nih.gov/42736157/</w:t>
      </w:r>
    </w:p>
    <w:p>
      <w:pPr>
        <w:pStyle w:val="Heading2"/>
      </w:pPr>
      <w:r>
        <w:t>Dengue- und Chikungunya-Impfstoffe: Verfügbarkeit und Versorgungslücken</w:t>
      </w:r>
    </w:p>
    <w:p>
      <w:r>
        <w:rPr>
          <w:i/>
          <w:color w:val="666666"/>
          <w:sz w:val="18"/>
        </w:rPr>
        <w:t>Tee KK et al.  ·  Hum Vaccin Immunother  ·  10.09.2026  ·  PMID 42720969</w:t>
      </w:r>
    </w:p>
    <w:p>
      <w:r>
        <w:t>Analyse der Lücke zwischen Impfstoffverfügbarkeit nach regulativer Zulassung und tatsächlicher Aufnahme in nationale Impfprogramme in Ländern mit Übertragungsrisiko.</w:t>
      </w:r>
    </w:p>
    <w:p>
      <w:r>
        <w:rPr>
          <w:b/>
        </w:rPr>
        <w:t xml:space="preserve">Ergebnis: </w:t>
      </w:r>
      <w:r>
        <w:t>Dengue- und Chikungunya-Impfstoffe sind verfügbar, aber ihre Aufnahme in nationale Programme in vielen Hochrisiko-Ländern bleibt begrenzt oder ungleich verteilt. Die zentrale Herausforderung liegt nicht nur in der Verfügbarkeit, sondern in einem mehrschichtigen Zugangsdefizit: initiale Verfügbarkeit, anhaltende Bereitstellung und Anpassung an Übertragungsrisiko.</w:t>
      </w:r>
    </w:p>
    <w:p>
      <w:r>
        <w:rPr>
          <w:b/>
          <w:sz w:val="19"/>
        </w:rPr>
        <w:t xml:space="preserve">Übertragbarkeit: </w:t>
      </w:r>
      <w:r>
        <w:rPr>
          <w:sz w:val="19"/>
        </w:rPr>
        <w:t>Globale Perspektive; übertragbar auf Systemfähigkeit und Priorisierung in Gesundheitssystemen</w:t>
      </w:r>
    </w:p>
    <w:p>
      <w:r>
        <w:rPr>
          <w:color w:val="5A7D3A"/>
          <w:sz w:val="18"/>
        </w:rPr>
        <w:t>https://pubmed.ncbi.nlm.nih.gov/42720969/</w:t>
      </w:r>
    </w:p>
    <w:p>
      <w:pPr>
        <w:pStyle w:val="Heading2"/>
      </w:pPr>
      <w:r>
        <w:t>Impfstoff-Notfallreserven: Globales System entwickelt sich weiter</w:t>
      </w:r>
    </w:p>
    <w:p>
      <w:r>
        <w:rPr>
          <w:i/>
          <w:color w:val="666666"/>
          <w:sz w:val="18"/>
        </w:rPr>
        <w:t>Walldorf JA et al.  ·  Expert Rev Vaccines  ·  10.09.2026  ·  PMID 42717903</w:t>
      </w:r>
    </w:p>
    <w:p>
      <w:r>
        <w:t>Übersicht über die Entwicklung globaler Impfstoff-Stockpile-Strategien von 2014–2025 für Cholera, Gelbfieber, Polio, Meningokokken, COVID-19, Ebola und Mpox.</w:t>
      </w:r>
    </w:p>
    <w:p>
      <w:r>
        <w:rPr>
          <w:b/>
        </w:rPr>
        <w:t xml:space="preserve">Ergebnis: </w:t>
      </w:r>
      <w:r>
        <w:t>Globale Stockpile wurden für mehrere Impfstoffe etabliert. Die Strategie hat sich von reaktiv zu integriert entwickelt und verbindet Notfallreaktion mit Präventionsstrategie. Beschleunigte Impfstoffentwicklung erfordert effiziente und transparente Stockpile-Verwaltung für gerechte, bedarfsgerechte Verteilung.</w:t>
      </w:r>
    </w:p>
    <w:p>
      <w:r>
        <w:rPr>
          <w:b/>
          <w:sz w:val="19"/>
        </w:rPr>
        <w:t xml:space="preserve">Übertragbarkeit: </w:t>
      </w:r>
      <w:r>
        <w:rPr>
          <w:sz w:val="19"/>
        </w:rPr>
        <w:t>Governance und Versorgungslogistik; System betrifft Deutschland als Teilnehmer globaler Netzwerke</w:t>
      </w:r>
    </w:p>
    <w:p>
      <w:r>
        <w:rPr>
          <w:color w:val="5A7D3A"/>
          <w:sz w:val="18"/>
        </w:rPr>
        <w:t>https://pubmed.ncbi.nlm.nih.gov/42717903/</w:t>
      </w:r>
    </w:p>
    <w:p>
      <w:pPr>
        <w:pStyle w:val="Heading2"/>
      </w:pPr>
      <w:r>
        <w:t>BNT162b2-mRNA-Impfung: Plasmazytoide dendritische Zellen lenken Immunantwort</w:t>
      </w:r>
    </w:p>
    <w:p>
      <w:r>
        <w:rPr>
          <w:i/>
          <w:color w:val="666666"/>
          <w:sz w:val="18"/>
        </w:rPr>
        <w:t>Pizzichetti C et al.  ·  EBioMedicine  ·  21.08.2026  ·  PMID 42628376</w:t>
      </w:r>
    </w:p>
    <w:p>
      <w:r>
        <w:t>Vorklinische Mausstudie zur Rolle plasmatischer dendritischer Zellen (pDCs) bei humoralen und CD8+-T-Zell-Gedächtnisantworten nach BNT162b2-Impfung.</w:t>
      </w:r>
    </w:p>
    <w:p>
      <w:r>
        <w:rPr>
          <w:b/>
        </w:rPr>
        <w:t xml:space="preserve">Ergebnis: </w:t>
      </w:r>
      <w:r>
        <w:t>BNT162b2 wurde schnell zu drainierenden Lymphknoten transportiert, wo es hauptsächlich von Leukozyten aufgenommen wurde, die daraufhin Spike-Protein exprimierten. pDCs zeigten sich als Regulatoren entzündlicher und humoraler Immunantworten. Single-Cell-Transkriptomik offenbarte aktive Interaktionen zwischen pDCs und CD8+-T-Zellen; funktionelle Studien bestätigten, dass pDCs CD8+-T-Zell-Aktivierung und -Expansion fördern.</w:t>
      </w:r>
    </w:p>
    <w:p>
      <w:r>
        <w:rPr>
          <w:b/>
          <w:sz w:val="19"/>
        </w:rPr>
        <w:t xml:space="preserve">Übertragbarkeit: </w:t>
      </w:r>
      <w:r>
        <w:rPr>
          <w:sz w:val="19"/>
        </w:rPr>
        <w:t>Vorklinisch; Mechanismusverständnis der mRNA-Impfstoffwirksamkeit</w:t>
      </w:r>
    </w:p>
    <w:p>
      <w:r>
        <w:rPr>
          <w:color w:val="5A7D3A"/>
          <w:sz w:val="18"/>
        </w:rPr>
        <w:t>https://pubmed.ncbi.nlm.nih.gov/42628376/</w:t>
      </w:r>
    </w:p>
    <w:p>
      <w:pPr>
        <w:pStyle w:val="Heading1"/>
      </w:pPr>
      <w:r>
        <w:t>Aufgenommen am 20.09.2026</w:t>
      </w:r>
    </w:p>
    <w:p>
      <w:pPr>
        <w:pStyle w:val="Heading2"/>
      </w:pPr>
      <w:r>
        <w:t>COVID-19-Impfquote bei Lebertransplantierten: 84,9% mit stabiler psychosozialer Gesundheit</w:t>
      </w:r>
    </w:p>
    <w:p>
      <w:r>
        <w:rPr>
          <w:i/>
          <w:color w:val="666666"/>
          <w:sz w:val="18"/>
        </w:rPr>
        <w:t>Akbulut S et al.  ·  Front Public Health  ·  04.09.2026  ·  PMID 42761137</w:t>
      </w:r>
    </w:p>
    <w:p>
      <w:r>
        <w:t>Querschnittsstudie von 311 Lebertransplantierten in der Türkei zu Impfstatus, Impfakzeptanz, Hesitanz, Präventionsverhalten und psychosozialer Gesundheit.</w:t>
      </w:r>
    </w:p>
    <w:p>
      <w:r>
        <w:rPr>
          <w:b/>
        </w:rPr>
        <w:t xml:space="preserve">Ergebnis: </w:t>
      </w:r>
      <w:r>
        <w:t>84,9% Impfquote; Hauptgründe: Empfehlungen von Fachleuten (p=n.s.), wahrgenommene höhere Mortalität chronisch Kranker. Hesitanz wegen unzureichender Effektivitäts- und Sicherheitsdaten, Anti-Impf-Inhalte in sozialen Medien. Psychosoziales Wohlbefinden assoziiert mit Einkommen, Immunsuppression und Informationsquellen; Impfstatus nicht robust mit Risikoperzeption assoziiert.</w:t>
      </w:r>
    </w:p>
    <w:p>
      <w:r>
        <w:rPr>
          <w:b/>
          <w:sz w:val="19"/>
        </w:rPr>
        <w:t xml:space="preserve">Übertragbarkeit: </w:t>
      </w:r>
      <w:r>
        <w:rPr>
          <w:sz w:val="19"/>
        </w:rPr>
        <w:t>Türkei, aber Erkenntnisse zu Impfakzeptanz in Hochrisiko-Kohorten übertragbar</w:t>
      </w:r>
    </w:p>
    <w:p>
      <w:r>
        <w:rPr>
          <w:color w:val="5A7D3A"/>
          <w:sz w:val="18"/>
        </w:rPr>
        <w:t>https://pubmed.ncbi.nlm.nih.gov/42761137/</w:t>
      </w:r>
    </w:p>
    <w:p>
      <w:pPr>
        <w:pStyle w:val="Heading2"/>
      </w:pPr>
      <w:r>
        <w:t>HSV-1-Infektion nach Grippeimpfung: Kasuistik einer zeitlichen Assoziation</w:t>
      </w:r>
    </w:p>
    <w:p>
      <w:r>
        <w:rPr>
          <w:i/>
          <w:color w:val="666666"/>
          <w:sz w:val="18"/>
        </w:rPr>
        <w:t>Liu YH et al.  ·  Hum Vaccin Immunother  ·  18.09.2026  ·  PMID 42757534</w:t>
      </w:r>
    </w:p>
    <w:p>
      <w:r>
        <w:t>Fallbericht eines 28-Jährigen mit multifokaler HSV-1-Infektion sieben Tage nach Influenzaimpfung ohne bekannte Immunsuppression.</w:t>
      </w:r>
    </w:p>
    <w:p>
      <w:r>
        <w:rPr>
          <w:b/>
        </w:rPr>
        <w:t xml:space="preserve">Ergebnis: </w:t>
      </w:r>
      <w:r>
        <w:t>PCR bestätigte HSV-1-DNA in Läsionen; vollständige klinische Remission nach intravenösem Acyclovir. Kausalität kann nicht etabliert werden, zeitliche Nähe ist jedoch bemerkenswert; Differentialdiagnose sollte HSV-Infektionen nach Impfung einbeziehen, ohne Kausalität zu implizieren.</w:t>
      </w:r>
    </w:p>
    <w:p>
      <w:r>
        <w:rPr>
          <w:b/>
          <w:sz w:val="19"/>
        </w:rPr>
        <w:t xml:space="preserve">Übertragbarkeit: </w:t>
      </w:r>
      <w:r>
        <w:rPr>
          <w:sz w:val="19"/>
        </w:rPr>
        <w:t>Deutschland, klinische Einzelfallbeobachtung in Versorgungspraxis relevant</w:t>
      </w:r>
    </w:p>
    <w:p>
      <w:r>
        <w:rPr>
          <w:color w:val="5A7D3A"/>
          <w:sz w:val="18"/>
        </w:rPr>
        <w:t>https://pubmed.ncbi.nlm.nih.gov/42757534/</w:t>
      </w:r>
    </w:p>
    <w:p>
      <w:pPr>
        <w:pStyle w:val="Heading2"/>
      </w:pPr>
      <w:r>
        <w:t>Sabin-IPV in Erwachsenen: Sicherheitsprofil gleichwertig mit konventionellem Polio-Impfstoff</w:t>
      </w:r>
    </w:p>
    <w:p>
      <w:r>
        <w:rPr>
          <w:i/>
          <w:color w:val="666666"/>
          <w:sz w:val="18"/>
        </w:rPr>
        <w:t>Hussain M et al.  ·  Front Public Health  ·  03.09.2026  ·  PMID 42755970</w:t>
      </w:r>
    </w:p>
    <w:p>
      <w:r>
        <w:t>Systematische Übersicht und Meta-Analyse von vier RCTs (70–340 Teilnehmer) zum Vergleich der Sicherheit von Sabin-abgeleiteter inaktivierter Poliovirus-Impfung (sIPV) mit konventioneller IPV bei Erwachsenen als Auffrischung.</w:t>
      </w:r>
    </w:p>
    <w:p>
      <w:r>
        <w:rPr>
          <w:b/>
        </w:rPr>
        <w:t xml:space="preserve">Ergebnis: </w:t>
      </w:r>
      <w:r>
        <w:t>Kein statistisch signifikanter Unterschied in unerwünschten Ereignissen: Schmerz (RR 1,57; 95%-KI 0,98–2,50), Erythem (RR 1,54; 95%-KI 0,64–3,69), Fieber (RR 0,96; 95%-KI 0,39–2,33). Heterogenität I²=0%. Nebenwirkungen mild und transient, die meisten Studien berichteten keine ernstlichen unerwünschten Ereignisse. Evidenzsicherheit niedrig bis sehr niedrig wegen kleiner Stichproben.</w:t>
      </w:r>
    </w:p>
    <w:p>
      <w:r>
        <w:rPr>
          <w:b/>
          <w:sz w:val="19"/>
        </w:rPr>
        <w:t xml:space="preserve">Übertragbarkeit: </w:t>
      </w:r>
      <w:r>
        <w:rPr>
          <w:sz w:val="19"/>
        </w:rPr>
        <w:t>Evidenz aus RCTs, aber kleine Fallzahlen; sIPV-Zulassung in Deutschland prüfen</w:t>
      </w:r>
    </w:p>
    <w:p>
      <w:r>
        <w:rPr>
          <w:color w:val="5A7D3A"/>
          <w:sz w:val="18"/>
        </w:rPr>
        <w:t>https://pubmed.ncbi.nlm.nih.gov/42755970/</w:t>
      </w:r>
    </w:p>
    <w:p>
      <w:pPr>
        <w:pStyle w:val="Heading2"/>
      </w:pPr>
      <w:r>
        <w:t>mRNA-Impfung bei Post-COVID: Funktionelle Besserung unabhängig vom Impfstatus</w:t>
      </w:r>
    </w:p>
    <w:p>
      <w:r>
        <w:rPr>
          <w:i/>
          <w:color w:val="666666"/>
          <w:sz w:val="18"/>
        </w:rPr>
        <w:t>Pries P et al.  ·  Expert Rev Vaccines  ·  17.09.2026  ·  PMID 42755271</w:t>
      </w:r>
    </w:p>
    <w:p>
      <w:r>
        <w:t>Retrospektive Kohortenstudie zur Frage, ob mRNA-SARS-CoV-2-Impfungen bei Patienten mit Langzeit-COVID (PASC) Symptome verschlimmern oder die Genesung beeinträchtigen.</w:t>
      </w:r>
    </w:p>
    <w:p>
      <w:r>
        <w:rPr>
          <w:b/>
        </w:rPr>
        <w:t xml:space="preserve">Ergebnis: </w:t>
      </w:r>
      <w:r>
        <w:t>174 geimpfte und ungeimpfte PASC-Patienten zeigten nach 3–6 Monaten in beiden Gruppen signifikante Verbesserungen bei Müdigkeit und Leistungsfähigkeit; kein statistisch signifikanter Unterschied zwischen Gruppen. Die Studie findet keine Evidenz für eine Verschlechterung durch Impfung, kleinere Effekte sind aber nicht ausgeschlossen.</w:t>
      </w:r>
    </w:p>
    <w:p>
      <w:r>
        <w:rPr>
          <w:b/>
          <w:sz w:val="19"/>
        </w:rPr>
        <w:t xml:space="preserve">Übertragbarkeit: </w:t>
      </w:r>
      <w:r>
        <w:rPr>
          <w:sz w:val="19"/>
        </w:rPr>
        <w:t>Deutschland, vergleichbare Gesundheitssysteme, ambulante Langzeit-COVID-Versorgung</w:t>
      </w:r>
    </w:p>
    <w:p>
      <w:r>
        <w:rPr>
          <w:color w:val="5A7D3A"/>
          <w:sz w:val="18"/>
        </w:rPr>
        <w:t>https://pubmed.ncbi.nlm.nih.gov/42755271/</w:t>
      </w:r>
    </w:p>
    <w:p>
      <w:pPr>
        <w:pStyle w:val="Heading2"/>
      </w:pPr>
      <w:r>
        <w:t>BCG-Immuntherapie bei Typ-1-Diabetes: Glukosemetabolismus korrigiert, HbA1c-Reduktion 8 Jahre stabil</w:t>
      </w:r>
    </w:p>
    <w:p>
      <w:r>
        <w:rPr>
          <w:i/>
          <w:color w:val="666666"/>
          <w:sz w:val="18"/>
        </w:rPr>
        <w:t>Faustman DL et al.  ·  Cells  ·  03.09.2026  ·  PMID 42738899</w:t>
      </w:r>
    </w:p>
    <w:p>
      <w:r>
        <w:t>Übersichtsarbeit zu klinischen Studien und mechanistischen Arbeiten über multi-Dosis-BCG-Immuntherapie bei Typ-1-Diabetes (T1D) und latent autoimmune diabetes in adults (LADA) über 15 Jahre.</w:t>
      </w:r>
    </w:p>
    <w:p>
      <w:r>
        <w:rPr>
          <w:b/>
        </w:rPr>
        <w:t xml:space="preserve">Ergebnis: </w:t>
      </w:r>
      <w:r>
        <w:t>T1D: Multiple klinische Studien zeigen stabile, wiederholte Reduktionen des HbA1c zu nahezu normalen Werten (vs. Placebo) für mindestens 8 Jahre, ohne Wiederherstellung der Pankreasfunction. Mechanismus: BCG-induzierte Korrektur von aerober Glykolyse-Defekten in lymphoiden/myeloiden Zellen → erhöhter Glukoseaufnahme nachgewiesen durch Langzeit-PET/CT. LADA: Minimale oder fehlende klinische Verbesserung; aber BCG reduziert Entzündung und fördert regulatorische T-Zellen. Epigenetische Umgestaltung ohne Genotyp-Änderung.</w:t>
      </w:r>
    </w:p>
    <w:p>
      <w:r>
        <w:rPr>
          <w:b/>
          <w:sz w:val="19"/>
        </w:rPr>
        <w:t xml:space="preserve">Übertragbarkeit: </w:t>
      </w:r>
      <w:r>
        <w:rPr>
          <w:sz w:val="19"/>
        </w:rPr>
        <w:t>USA-Studien mit deutschen Kliniken; Diabetes-Versorgung übertragbar</w:t>
      </w:r>
    </w:p>
    <w:p>
      <w:r>
        <w:rPr>
          <w:color w:val="5A7D3A"/>
          <w:sz w:val="18"/>
        </w:rPr>
        <w:t>https://pubmed.ncbi.nlm.nih.gov/42738899/</w:t>
      </w:r>
    </w:p>
    <w:p>
      <w:pPr>
        <w:pStyle w:val="Heading2"/>
      </w:pPr>
      <w:r>
        <w:t>BCG-Impfung bei Kindern: Genetische Varianten in Entzündungsproteinen zeigen Interaktion mit Impfantwort</w:t>
      </w:r>
    </w:p>
    <w:p>
      <w:r>
        <w:rPr>
          <w:i/>
          <w:color w:val="666666"/>
          <w:sz w:val="18"/>
        </w:rPr>
        <w:t>Boahen CK et al.  ·  Biomed Pharmacother  ·  13.08.2026  ·  PMID 42594746</w:t>
      </w:r>
    </w:p>
    <w:p>
      <w:r>
        <w:t>Genom-weites pQTL-Mapping (Protein-Quantitative-Trait-Loci) von 65 zirkulierenden Entzündungsproteinen bei Monat 13 post-BCG-Impfung in dänischen Kindern zur Identifikation genetischer Varianten, die die Immunantwort beeinflussen.</w:t>
      </w:r>
    </w:p>
    <w:p>
      <w:r>
        <w:rPr>
          <w:b/>
        </w:rPr>
        <w:t xml:space="preserve">Ergebnis: </w:t>
      </w:r>
      <w:r>
        <w:t>11 unabhängige genomweit signifikante Loci identifiziert. Vier pQTL zeigten Evidenz für Genotyp-by-BCG-Interaktionen (rs10217747: CXCL11, rs13187850: CD6, rs56283092: LAP-TGF-β1, rs11708321: CDCP1) mit größeren Effektschätzungen in BCG-Gruppe. Diese Varianten wurden zuvor mit Entzündungs- und Autoimmun-Traits assoziiert. Befunde sind explorativ und hypothesengenerierend, erfordern weitere Validierung.</w:t>
      </w:r>
    </w:p>
    <w:p>
      <w:r>
        <w:rPr>
          <w:b/>
          <w:sz w:val="19"/>
        </w:rPr>
        <w:t xml:space="preserve">Übertragbarkeit: </w:t>
      </w:r>
      <w:r>
        <w:rPr>
          <w:sz w:val="19"/>
        </w:rPr>
        <w:t>Dänemark, Gesundheitssystem vergleichbar; nationale BCG-Impfquoten-Registry vorhanden</w:t>
      </w:r>
    </w:p>
    <w:p>
      <w:r>
        <w:rPr>
          <w:color w:val="5A7D3A"/>
          <w:sz w:val="18"/>
        </w:rPr>
        <w:t>https://pubmed.ncbi.nlm.nih.gov/42594746/</w:t>
      </w:r>
    </w:p>
    <w:p>
      <w:pPr>
        <w:pStyle w:val="Heading1"/>
      </w:pPr>
      <w:r>
        <w:t>Aufgenommen am 19.09.2026</w:t>
      </w:r>
    </w:p>
    <w:p>
      <w:pPr>
        <w:pStyle w:val="Heading2"/>
      </w:pPr>
      <w:r>
        <w:t>Maschinenlernen identifiziert Null-Dosis-Kinder in Subsahara-Afrika</w:t>
      </w:r>
    </w:p>
    <w:p>
      <w:r>
        <w:rPr>
          <w:i/>
          <w:color w:val="666666"/>
          <w:sz w:val="18"/>
        </w:rPr>
        <w:t>Endehabtu BF et al.  ·  BMJ Health Care Inform  ·  18.09.2026  ·  PMID 42759970</w:t>
      </w:r>
    </w:p>
    <w:p>
      <w:r>
        <w:t>Prädiktives Modellentwicklungs-Projekt mit Daten von 27 subsaharischen Ländern (Demographic Health Survey 2016–2024) zur Risikoidentifikation von Kindern ohne Impfung.</w:t>
      </w:r>
    </w:p>
    <w:p>
      <w:r>
        <w:rPr>
          <w:b/>
        </w:rPr>
        <w:t xml:space="preserve">Ergebnis: </w:t>
      </w:r>
      <w:r>
        <w:t>LightGBM-Modell zeigte beste Gesamtleistung: 80 % Genauigkeit, 91 % Sensitivität, AUROC 0,78. Wichtigste Prädiktoren: Entbindungsort, Geburtsvorkontakten, Mutter-Tetanus-Impfung, Haushaltsvermögen, mütterliche Bildung. Ermöglicht frühe Risikoidentifikation.</w:t>
      </w:r>
    </w:p>
    <w:p>
      <w:r>
        <w:rPr>
          <w:b/>
          <w:sz w:val="19"/>
        </w:rPr>
        <w:t xml:space="preserve">Übertragbarkeit: </w:t>
      </w:r>
      <w:r>
        <w:rPr>
          <w:sz w:val="19"/>
        </w:rPr>
        <w:t>Subsahara-Afrika, digitales Tooldesign auf Länder mit WHO DHSatz übertragbar.</w:t>
      </w:r>
    </w:p>
    <w:p>
      <w:r>
        <w:rPr>
          <w:color w:val="5A7D3A"/>
          <w:sz w:val="18"/>
        </w:rPr>
        <w:t>https://pubmed.ncbi.nlm.nih.gov/42759970/</w:t>
      </w:r>
    </w:p>
    <w:p>
      <w:pPr>
        <w:pStyle w:val="Heading2"/>
      </w:pPr>
      <w:r>
        <w:t>RSV-Impfeffektivität bei älteren Erwachsenen in den USA zeigt hohe Wirksamkeit</w:t>
      </w:r>
    </w:p>
    <w:p>
      <w:r>
        <w:rPr>
          <w:i/>
          <w:color w:val="666666"/>
          <w:sz w:val="18"/>
        </w:rPr>
        <w:t>Lu Y et al.  ·  JAMA Netw Open  ·  01.09.2026  ·  PMID 42758507</w:t>
      </w:r>
    </w:p>
    <w:p>
      <w:r>
        <w:t>Nationale Kohortenstudie zur klinischen Wirksamkeit zweier RSV-Impfstoffe bei Medicare-Patienten ab 65 Jahren in der ersten Saison nach Zulassung (August 2023 bis März 2024).</w:t>
      </w:r>
    </w:p>
    <w:p>
      <w:r>
        <w:rPr>
          <w:b/>
        </w:rPr>
        <w:t xml:space="preserve">Ergebnis: </w:t>
      </w:r>
      <w:r>
        <w:t>RSVPreF3+AS01 und RSVpreF hatten eine Effektivität von 81,8 % (95-%-KI 80,0–83,4 %) gegen RSV-bedingte Hospitalisierungen und 85,0 % gegen RSV-bedingte Todesfälle. Brand-spezifisch: RSVPreF3+AS01 79,9 %, RSVpreF 85,1 %. Bei immungeschwächten Personen 72,2 %. Wirksam über alle Altersgruppen ab 65 Jahren.</w:t>
      </w:r>
    </w:p>
    <w:p>
      <w:r>
        <w:rPr>
          <w:b/>
          <w:sz w:val="19"/>
        </w:rPr>
        <w:t xml:space="preserve">Übertragbarkeit: </w:t>
      </w:r>
      <w:r>
        <w:rPr>
          <w:sz w:val="19"/>
        </w:rPr>
        <w:t>Medicare-Daten, vergleichbare Dokumentationspflichten wie Deutschland.</w:t>
      </w:r>
    </w:p>
    <w:p>
      <w:r>
        <w:rPr>
          <w:color w:val="5A7D3A"/>
          <w:sz w:val="18"/>
        </w:rPr>
        <w:t>https://pubmed.ncbi.nlm.nih.gov/42758507/</w:t>
      </w:r>
    </w:p>
    <w:p>
      <w:pPr>
        <w:pStyle w:val="Heading2"/>
      </w:pPr>
      <w:r>
        <w:t>Impfbefürwortung durch Fachpersonal: Trainingseffekt bei Hebammen und Pflegekräften</w:t>
      </w:r>
    </w:p>
    <w:p>
      <w:r>
        <w:rPr>
          <w:i/>
          <w:color w:val="666666"/>
          <w:sz w:val="18"/>
        </w:rPr>
        <w:t>Tiryaki Ö  ·  Biomedica  ·  20.08.2026  ·  PMID 42757794</w:t>
      </w:r>
    </w:p>
    <w:p>
      <w:r>
        <w:t>Quasi-experimentelle Studie mit Vorher-Nachher-Messung zur Wirkung eines Impfaufklärungstrainings auf die Impfbefürwortung bei 249 Hebammen und Pflegekräften.</w:t>
      </w:r>
    </w:p>
    <w:p>
      <w:r>
        <w:rPr>
          <w:b/>
        </w:rPr>
        <w:t xml:space="preserve">Ergebnis: </w:t>
      </w:r>
      <w:r>
        <w:t>Vaccine Advocacy Scale für Kinderimpfungen stieg signifikant von 45,19 ± 2,85 vor auf 46,95 ± 1,99 Punkte nach dem Training (Wilcoxon p = 0,000). Effekt niedrig, aber statistisch robust; Ausgangsniveau bereits hoch.</w:t>
      </w:r>
    </w:p>
    <w:p>
      <w:r>
        <w:rPr>
          <w:b/>
          <w:sz w:val="19"/>
        </w:rPr>
        <w:t xml:space="preserve">Übertragbarkeit: </w:t>
      </w:r>
      <w:r>
        <w:rPr>
          <w:sz w:val="19"/>
        </w:rPr>
        <w:t>Türkisches Setting, Pflegekräfte-Schulung auf Deutschland übertragbar.</w:t>
      </w:r>
    </w:p>
    <w:p>
      <w:r>
        <w:rPr>
          <w:color w:val="5A7D3A"/>
          <w:sz w:val="18"/>
        </w:rPr>
        <w:t>https://pubmed.ncbi.nlm.nih.gov/42757794/</w:t>
      </w:r>
    </w:p>
    <w:p>
      <w:pPr>
        <w:pStyle w:val="Heading2"/>
      </w:pPr>
      <w:r>
        <w:t>RSVPreF3-Impfstoff bei älteren Chinesen immunogenetisch gleichwertig zu globaler Population</w:t>
      </w:r>
    </w:p>
    <w:p>
      <w:r>
        <w:rPr>
          <w:i/>
          <w:color w:val="666666"/>
          <w:sz w:val="18"/>
        </w:rPr>
        <w:t>Guo X et al.  ·  Front Immunol  ·  03.09.2026  ·  PMID 42756146</w:t>
      </w:r>
    </w:p>
    <w:p>
      <w:r>
        <w:t>Phase-3-Immunbrückungs-Studie zur Nichtunterlegenheit von RSVPreF3 bei ≥60-jährigen chinesischen Erwachsenen gegenüber internationaler Vergleichsgruppe (6 Länder).</w:t>
      </w:r>
    </w:p>
    <w:p>
      <w:r>
        <w:rPr>
          <w:b/>
        </w:rPr>
        <w:t xml:space="preserve">Ergebnis: </w:t>
      </w:r>
      <w:r>
        <w:t>Nichtunterlegenheitskriterien erfüllt: GMT-Verhältnisse für RSV-A/B 1,20/1,10 (akzeptabel ≤1,5), Seroresponse-Unterschiede 3,40 %/4,89 % (akzeptabel ≤10 %). RSV-A/B-Neutralisationstiter 5523/8073 ED60 (China), 6605/8286 (Ausland). Lokale Nebenwirkungen meist mild-moderat, Ernsthaftigkeit niedrig (0,2–0,3 % immune-vermittelt).</w:t>
      </w:r>
    </w:p>
    <w:p>
      <w:r>
        <w:rPr>
          <w:b/>
          <w:sz w:val="19"/>
        </w:rPr>
        <w:t xml:space="preserve">Übertragbarkeit: </w:t>
      </w:r>
      <w:r>
        <w:rPr>
          <w:sz w:val="19"/>
        </w:rPr>
        <w:t>China, aber Immunogenität-Ergebnis zur Globalität des Impfstoffs übertra gbar.</w:t>
      </w:r>
    </w:p>
    <w:p>
      <w:r>
        <w:rPr>
          <w:color w:val="5A7D3A"/>
          <w:sz w:val="18"/>
        </w:rPr>
        <w:t>https://pubmed.ncbi.nlm.nih.gov/42756146/</w:t>
      </w:r>
    </w:p>
    <w:p>
      <w:pPr>
        <w:pStyle w:val="Heading2"/>
      </w:pPr>
      <w:r>
        <w:t>Impfgerechtigkeit als Planungsprinzip: Lehren aus der COVID-19-Pandemie</w:t>
      </w:r>
    </w:p>
    <w:p>
      <w:r>
        <w:rPr>
          <w:i/>
          <w:color w:val="666666"/>
          <w:sz w:val="18"/>
        </w:rPr>
        <w:t>Ghafari M et al.  ·  Expert Rev Vaccines  ·  16.09.2026  ·  PMID 42750274</w:t>
      </w:r>
    </w:p>
    <w:p>
      <w:r>
        <w:t>Synthesearbeit von Literatur und Politikberichten zu globalen Impfstoff-Rollouts, insbesondere über Verteilungsszenarien, Beschaffung und dezentralisierte Herstellung.</w:t>
      </w:r>
    </w:p>
    <w:p>
      <w:r>
        <w:rPr>
          <w:b/>
        </w:rPr>
        <w:t xml:space="preserve">Ergebnis: </w:t>
      </w:r>
      <w:r>
        <w:t>COVID-19 zeigte: Schnelle Entwicklung ohne Gerechtigkeitsplanung schuf vermeidbare Schäden. Lösungen sind geografisch verteilte Herstellung, vorab vereinbarte epidemiologisch gesteuerte Zuteilung, transparente Datenaustausch und Neutralisierung kommerzieller Verzerrungen. Empfehlung: Institutionalisierte disaggregierte Berichterstattung und standardisierte Daten-Sharing.</w:t>
      </w:r>
    </w:p>
    <w:p>
      <w:r>
        <w:rPr>
          <w:b/>
          <w:sz w:val="19"/>
        </w:rPr>
        <w:t xml:space="preserve">Übertragbarkeit: </w:t>
      </w:r>
      <w:r>
        <w:rPr>
          <w:sz w:val="19"/>
        </w:rPr>
        <w:t>Europäisches und Schweizer System, Prinzipien auf DACH übertragbar.</w:t>
      </w:r>
    </w:p>
    <w:p>
      <w:r>
        <w:rPr>
          <w:color w:val="5A7D3A"/>
          <w:sz w:val="18"/>
        </w:rPr>
        <w:t>https://pubmed.ncbi.nlm.nih.gov/42750274/</w:t>
      </w:r>
    </w:p>
    <w:p>
      <w:pPr>
        <w:pStyle w:val="Heading2"/>
      </w:pPr>
      <w:r>
        <w:t>Inaktivierter Rotavirus-Impfstoff: Sicherheit und Immunogenität bei Kleinkindern</w:t>
      </w:r>
    </w:p>
    <w:p>
      <w:r>
        <w:rPr>
          <w:i/>
          <w:color w:val="666666"/>
          <w:sz w:val="18"/>
        </w:rPr>
        <w:t>Zhou Y et al.  ·  Nat Commun  ·  14.08.2026  ·  PMID 42733081</w:t>
      </w:r>
    </w:p>
    <w:p>
      <w:r>
        <w:t>Randomisierte, placebokontrollierte Phase-1-Studie zur Dosis-Eskalation von Rotavirus-Impfstoff bei 288 Kindern 2–71 Monate ohne vorherige Rotavirus-Impfung.</w:t>
      </w:r>
    </w:p>
    <w:p>
      <w:r>
        <w:rPr>
          <w:b/>
        </w:rPr>
        <w:t xml:space="preserve">Ergebnis: </w:t>
      </w:r>
      <w:r>
        <w:t>Keine impfstoffbezogenen SAEs; transiente Mild-bis-Mäßig-Fieber nur in Hochdosis-Säuglings-Gruppe (klinisch handhabbar). Neutralisierende Antikörper-GMT dose-abhängig erhöht. 3-Dosis-Säugling-Gruppe (320 EU): GMT 551,98 vs. 36,17 (Placebo), Serokonversionsrate 83,33 % vs. 10 %. 3-Dosis-Schema überlegen 2-Dosis.</w:t>
      </w:r>
    </w:p>
    <w:p>
      <w:r>
        <w:rPr>
          <w:b/>
          <w:sz w:val="19"/>
        </w:rPr>
        <w:t xml:space="preserve">Übertragbarkeit: </w:t>
      </w:r>
      <w:r>
        <w:rPr>
          <w:sz w:val="19"/>
        </w:rPr>
        <w:t>Chinesische Studie, Sicherheits- und Immunogenitätsdaten auf frühe Klinische Phasen übertragbar.</w:t>
      </w:r>
    </w:p>
    <w:p>
      <w:r>
        <w:rPr>
          <w:color w:val="5A7D3A"/>
          <w:sz w:val="18"/>
        </w:rPr>
        <w:t>https://pubmed.ncbi.nlm.nih.gov/42733081/</w:t>
      </w:r>
    </w:p>
    <w:p>
      <w:pPr>
        <w:pStyle w:val="Heading1"/>
      </w:pPr>
      <w:r>
        <w:t>Aufgenommen am 18.09.2026</w:t>
      </w:r>
    </w:p>
    <w:p>
      <w:pPr>
        <w:pStyle w:val="Heading2"/>
      </w:pPr>
      <w:r>
        <w:t>RSV-Hospitalisierungen vor Impfstoffeinführung: Altersgruppen und Datenlücken</w:t>
      </w:r>
    </w:p>
    <w:p>
      <w:r>
        <w:rPr>
          <w:i/>
          <w:color w:val="666666"/>
          <w:sz w:val="18"/>
        </w:rPr>
        <w:t>Imai-Boulter C et al.  ·  Med J Aust  ·  Sept. 2026  ·  PMID 42754405</w:t>
      </w:r>
    </w:p>
    <w:p>
      <w:r>
        <w:t>Retrospektive bevölkerungsbasierte Studie zur RSV-Krankheitslast in Australien vor Immunisierungsstart (2016–2019 Hospitalisierungen, 2023 Labor-Meldungen).</w:t>
      </w:r>
    </w:p>
    <w:p>
      <w:r>
        <w:rPr>
          <w:b/>
        </w:rPr>
        <w:t xml:space="preserve">Ergebnis: </w:t>
      </w:r>
      <w:r>
        <w:t>Hospitalisierungen bei &lt;3 Monaten alt: 4014/100000, bei ≥65 Jahren: 122/100000 (steigende Tendenz); 55 % der Bronchiolitiden mit ungeklärter Ursache; Labor-Meldungen höchst bei 6–11 Monaten (7778/100000). Zeigt Datenlücken bei Fallerfassung und Testfrequenz.</w:t>
      </w:r>
    </w:p>
    <w:p>
      <w:r>
        <w:rPr>
          <w:b/>
          <w:sz w:val="19"/>
        </w:rPr>
        <w:t xml:space="preserve">Übertragbarkeit: </w:t>
      </w:r>
      <w:r>
        <w:rPr>
          <w:sz w:val="19"/>
        </w:rPr>
        <w:t>Australien (Versorgungsdaten verfügbar); ähnliche Datenstrukturen in Deutschland schwächer (kein nationales Impfregister).</w:t>
      </w:r>
    </w:p>
    <w:p>
      <w:r>
        <w:rPr>
          <w:color w:val="5A7D3A"/>
          <w:sz w:val="18"/>
        </w:rPr>
        <w:t>https://pubmed.ncbi.nlm.nih.gov/42754405/</w:t>
      </w:r>
    </w:p>
    <w:p>
      <w:pPr>
        <w:pStyle w:val="Heading2"/>
      </w:pPr>
      <w:r>
        <w:t>MZB1-Spiegel sagen Langzeitschutz nach Hepatitis-B-Impfung voraus</w:t>
      </w:r>
    </w:p>
    <w:p>
      <w:r>
        <w:rPr>
          <w:i/>
          <w:color w:val="666666"/>
          <w:sz w:val="18"/>
        </w:rPr>
        <w:t>Huang ML et al.  ·  Front Immunol  ·  02.09.2026  ·  PMID 42751130</w:t>
      </w:r>
    </w:p>
    <w:p>
      <w:r>
        <w:t>Single-Cell-RNA-Seq plus nested case-control und Interventionsstudie zur Identifikation von B-Zell-Markern für stabilen Anti-HBs-Schutz.</w:t>
      </w:r>
    </w:p>
    <w:p>
      <w:r>
        <w:rPr>
          <w:b/>
        </w:rPr>
        <w:t xml:space="preserve">Ergebnis: </w:t>
      </w:r>
      <w:r>
        <w:t>MZB1 signifikant erhöht in B-Zellen von Langzeitschützer/innen (p=2,1e-12); Serum-MZB1 &gt;1000 mIU/ml nach 30 Jahren: 7,1±2,2 ng/ml vs. Anti-HBs-Negative: 0,96±0,1 ng/ml (p&lt;0,0001); MZB1 korreliert stark mit Anti-HBs-Titer (r=0,892). MZB1 schon nach 1. Dosis erhöht, VE besser bei hohen MZB1-Konzentrationen.</w:t>
      </w:r>
    </w:p>
    <w:p>
      <w:r>
        <w:rPr>
          <w:b/>
          <w:sz w:val="19"/>
        </w:rPr>
        <w:t xml:space="preserve">Übertragbarkeit: </w:t>
      </w:r>
      <w:r>
        <w:rPr>
          <w:sz w:val="19"/>
        </w:rPr>
        <w:t>China (Validierungskohorten mobil), Biomarker universal; kein nationales Vorteil, aber wissenschaftlich relevant.</w:t>
      </w:r>
    </w:p>
    <w:p>
      <w:r>
        <w:rPr>
          <w:color w:val="5A7D3A"/>
          <w:sz w:val="18"/>
        </w:rPr>
        <w:t>https://pubmed.ncbi.nlm.nih.gov/42751130/</w:t>
      </w:r>
    </w:p>
    <w:p>
      <w:pPr>
        <w:pStyle w:val="Heading2"/>
      </w:pPr>
      <w:r>
        <w:t>Wertaffirmation in Impfkampagnen: Small Effects auf Impfbereitschaft</w:t>
      </w:r>
    </w:p>
    <w:p>
      <w:r>
        <w:rPr>
          <w:i/>
          <w:color w:val="666666"/>
          <w:sz w:val="18"/>
        </w:rPr>
        <w:t>Wolsko C et al.  ·  PLoS One  ·  16.09.2026  ·  PMID 42748077</w:t>
      </w:r>
    </w:p>
    <w:p>
      <w:r>
        <w:t>Online-Befragung von 1170 Ungeimpften (USA, Frühjahr 2021) zu COVID-Impfbotschaften, die auf persönliche Werte ausgerichtet sind.</w:t>
      </w:r>
    </w:p>
    <w:p>
      <w:r>
        <w:rPr>
          <w:b/>
        </w:rPr>
        <w:t xml:space="preserve">Ergebnis: </w:t>
      </w:r>
      <w:r>
        <w:t>Botschaften, die Misstrauen in Regierung und Sorgen vor Freiheitsbeschränkung bestätigten, zeigten höhere Impfbereitschaft und mehr Vertrauen als Kontrolle; Effektgrößen klein, aber bedeutsam für Vaccine Hesitancy-Subgruppen.</w:t>
      </w:r>
    </w:p>
    <w:p>
      <w:r>
        <w:rPr>
          <w:b/>
          <w:sz w:val="19"/>
        </w:rPr>
        <w:t xml:space="preserve">Übertragbarkeit: </w:t>
      </w:r>
      <w:r>
        <w:rPr>
          <w:sz w:val="19"/>
        </w:rPr>
        <w:t>USA (Wertbetonung kulturabhängig); Kommunikationsstrategie prinzipiell übertragbar, aber Wertrahmen müssen regional angepasst werden.</w:t>
      </w:r>
    </w:p>
    <w:p>
      <w:r>
        <w:rPr>
          <w:color w:val="5A7D3A"/>
          <w:sz w:val="18"/>
        </w:rPr>
        <w:t>https://pubmed.ncbi.nlm.nih.gov/42748077/</w:t>
      </w:r>
    </w:p>
    <w:p>
      <w:pPr>
        <w:pStyle w:val="Heading2"/>
      </w:pPr>
      <w:r>
        <w:t>Impf-Fachkompetenz in Äthiopien schwach: nur 50 % erfüllen Mindeststandard</w:t>
      </w:r>
    </w:p>
    <w:p>
      <w:r>
        <w:rPr>
          <w:i/>
          <w:color w:val="666666"/>
          <w:sz w:val="18"/>
        </w:rPr>
        <w:t>Olani A et al.  ·  PLoS One  ·  15.09.2026  ·  PMID 42743175</w:t>
      </w:r>
    </w:p>
    <w:p>
      <w:r>
        <w:t>Observationale Studie mit Checklisten zur Impf-Fachkompetenz in 34 äthiopischen Gesundheitseinrichtungen.</w:t>
      </w:r>
    </w:p>
    <w:p>
      <w:r>
        <w:rPr>
          <w:b/>
        </w:rPr>
        <w:t xml:space="preserve">Ergebnis: </w:t>
      </w:r>
      <w:r>
        <w:t>340 Impfungen beobachtet; Gesamtkompetenz 50 % (Schwelle: 80 %); beste Leistung: Verabreichung (71 %), schlechteste: Dokumentation (22 %); Defizite in Infektionskontrolle und Patienten-Kommunikation. Lücke zwischen theoretischem Wissen und praktischer Umsetzung.</w:t>
      </w:r>
    </w:p>
    <w:p>
      <w:r>
        <w:rPr>
          <w:b/>
          <w:sz w:val="19"/>
        </w:rPr>
        <w:t xml:space="preserve">Übertragbarkeit: </w:t>
      </w:r>
      <w:r>
        <w:rPr>
          <w:sz w:val="19"/>
        </w:rPr>
        <w:t>Äthiopien (Niedrig-Ressourcen), begrenzte Übertragbarkeit; zeigt jedoch global relevante Schulungs- und Überwachungsdefizite.</w:t>
      </w:r>
    </w:p>
    <w:p>
      <w:r>
        <w:rPr>
          <w:color w:val="5A7D3A"/>
          <w:sz w:val="18"/>
        </w:rPr>
        <w:t>https://pubmed.ncbi.nlm.nih.gov/42743175/</w:t>
      </w:r>
    </w:p>
    <w:p>
      <w:pPr>
        <w:pStyle w:val="Heading2"/>
      </w:pPr>
      <w:r>
        <w:t>Ökologische Studien zu Impfeffekten könnten Versorgungsdaten für Deutschland liefern</w:t>
      </w:r>
    </w:p>
    <w:p>
      <w:r>
        <w:rPr>
          <w:i/>
          <w:color w:val="666666"/>
          <w:sz w:val="18"/>
        </w:rPr>
        <w:t>Nolting T et al.  ·  BMJ Open  ·  11.09.2026  ·  PMID 42731829</w:t>
      </w:r>
    </w:p>
    <w:p>
      <w:r>
        <w:t>Scoping Review, die ökologische Studien zu Impfeffektivität systematisieren soll, mit Fokus auf Deutschland.</w:t>
      </w:r>
    </w:p>
    <w:p>
      <w:r>
        <w:rPr>
          <w:b/>
        </w:rPr>
        <w:t xml:space="preserve">Ergebnis: </w:t>
      </w:r>
      <w:r>
        <w:t>Studienprotokoll ohne empirische Ergebnisse; zeigt einen Forschungsbedarf für vergleichende Analysen der Impfbeiträge zu Morbidität und Mortalität.</w:t>
      </w:r>
    </w:p>
    <w:p>
      <w:r>
        <w:rPr>
          <w:b/>
          <w:sz w:val="19"/>
        </w:rPr>
        <w:t xml:space="preserve">Übertragbarkeit: </w:t>
      </w:r>
      <w:r>
        <w:rPr>
          <w:sz w:val="19"/>
        </w:rPr>
        <w:t>Deutschland, zukünftige Datenquelle; Übertragbarkeit hängt von Verfügbarkeit von Routinedaten ab.</w:t>
      </w:r>
    </w:p>
    <w:p>
      <w:r>
        <w:rPr>
          <w:color w:val="5A7D3A"/>
          <w:sz w:val="18"/>
        </w:rPr>
        <w:t>https://pubmed.ncbi.nlm.nih.gov/42731829/</w:t>
      </w:r>
    </w:p>
    <w:p>
      <w:pPr>
        <w:pStyle w:val="Heading2"/>
      </w:pPr>
      <w:r>
        <w:t>Impfantwort bei Krebs und Immunsuppression: RESPONSE-Kohortenstudie</w:t>
      </w:r>
    </w:p>
    <w:p>
      <w:r>
        <w:rPr>
          <w:i/>
          <w:color w:val="666666"/>
          <w:sz w:val="18"/>
        </w:rPr>
        <w:t>Felipe Fumero E et al.  ·  JMIR Res Protoc  ·  23.07.2026  ·  PMID 42492070</w:t>
      </w:r>
    </w:p>
    <w:p>
      <w:r>
        <w:t>Prospektive Kohortenstudie zu humoralen und zellulären Reaktionen auf Atemwegs-Impfstoffe bei onkologischen Patienten, Rekrutierung seit März 2025 laufend.</w:t>
      </w:r>
    </w:p>
    <w:p>
      <w:r>
        <w:rPr>
          <w:b/>
        </w:rPr>
        <w:t xml:space="preserve">Ergebnis: </w:t>
      </w:r>
      <w:r>
        <w:t>Protokoll mit laufender Rekrutierung; Fokus auf frühe und späte Booster-Effekte. Finale Analysen ab Q3 2026 geplant; zielt auf T-Zell-Antworten, die bei dieser Gruppe zuverlässiger sind als Antikörper.</w:t>
      </w:r>
    </w:p>
    <w:p>
      <w:r>
        <w:rPr>
          <w:b/>
          <w:sz w:val="19"/>
        </w:rPr>
        <w:t xml:space="preserve">Übertragbarkeit: </w:t>
      </w:r>
      <w:r>
        <w:rPr>
          <w:sz w:val="19"/>
        </w:rPr>
        <w:t>Deutschland (Köln, Universitätsklinik), direkt übertragbar auf Versorgungsfragen bei Immunsuppression.</w:t>
      </w:r>
    </w:p>
    <w:p>
      <w:r>
        <w:rPr>
          <w:color w:val="5A7D3A"/>
          <w:sz w:val="18"/>
        </w:rPr>
        <w:t>https://pubmed.ncbi.nlm.nih.gov/42492070/</w:t>
      </w:r>
    </w:p>
    <w:p>
      <w:pPr>
        <w:pStyle w:val="Heading1"/>
      </w:pPr>
      <w:r>
        <w:t>Aufgenommen am 17.09.2026</w:t>
      </w:r>
    </w:p>
    <w:p>
      <w:pPr>
        <w:pStyle w:val="Heading2"/>
      </w:pPr>
      <w:r>
        <w:t>Gonorrhoe-Impfstoff: Modellierte Prävalenzreduktion in abgelegenem indigenem Australien</w:t>
      </w:r>
    </w:p>
    <w:p>
      <w:r>
        <w:rPr>
          <w:i/>
          <w:color w:val="666666"/>
          <w:sz w:val="18"/>
        </w:rPr>
        <w:t>Padeniya TN et al.  ·  Sex Health  ·  20.10.2026  ·  PMID 42749469</w:t>
      </w:r>
    </w:p>
    <w:p>
      <w:r>
        <w:t>Mathematisches Transmissionsmodell (individual-basiert) zur Analyse der Effektivität einer hypothetischen Gonorrhoe-Impfung in abgelegenen Gemeinden mit hoher Inzidenz bei 16–36-jährigen australischen Ureinwohnern.</w:t>
      </w:r>
    </w:p>
    <w:p>
      <w:r>
        <w:rPr>
          <w:b/>
        </w:rPr>
        <w:t xml:space="preserve">Ergebnis: </w:t>
      </w:r>
      <w:r>
        <w:t>Bei 5-Jahres-Nachverfolgung mit 40 % jährlicher Impfquote und Impfstoff mit 25–50 % Schutzwirksamkeit: relative Prävalenzreduktion 15–28 %. Bei 80 % Impfquote und 75 % Wirksamkeit: 95 % (5 Jahre) bis 98 % (10 Jahre) Reduktion. Auch mit partieller Wirksamkeit substantielle Prävalenzrückgänge möglich.</w:t>
      </w:r>
    </w:p>
    <w:p>
      <w:r>
        <w:rPr>
          <w:b/>
          <w:sz w:val="19"/>
        </w:rPr>
        <w:t xml:space="preserve">Übertragbarkeit: </w:t>
      </w:r>
      <w:r>
        <w:rPr>
          <w:sz w:val="19"/>
        </w:rPr>
        <w:t>Australien mit Registersystem und hoher Datenqualität, aber Bevölkerungszusammensetzung und epidemiologische Lage unterscheiden sich von Deutschland.</w:t>
      </w:r>
    </w:p>
    <w:p>
      <w:r>
        <w:rPr>
          <w:color w:val="5A7D3A"/>
          <w:sz w:val="18"/>
        </w:rPr>
        <w:t>https://pubmed.ncbi.nlm.nih.gov/42749469/</w:t>
      </w:r>
    </w:p>
    <w:p>
      <w:pPr>
        <w:pStyle w:val="Heading2"/>
      </w:pPr>
      <w:r>
        <w:t>Herpes-Zoster-Impfung: Wirksamkeit gegen Zoster, Ophthalmicus und postherpetische Neuralgie</w:t>
      </w:r>
    </w:p>
    <w:p>
      <w:r>
        <w:rPr>
          <w:i/>
          <w:color w:val="666666"/>
          <w:sz w:val="18"/>
        </w:rPr>
        <w:t>Heen E et al.  ·  Rev Med Virol  ·  Sept. 2026  ·  PMID 42748460</w:t>
      </w:r>
    </w:p>
    <w:p>
      <w:r>
        <w:t>Systematische Übersicht mit Metaanalyse von 18 Studien (3 RCT, 15 Beobachtungsstudien) zur Effektivität des Recombinant-Zoster-Impfstoffs (RZV) gegen Herpes zoster und Komplikationen in ≥50-Jährigen.</w:t>
      </w:r>
    </w:p>
    <w:p>
      <w:r>
        <w:rPr>
          <w:b/>
        </w:rPr>
        <w:t xml:space="preserve">Ergebnis: </w:t>
      </w:r>
      <w:r>
        <w:t>RZV zeigte in RCT 95 % Effektivität gegen Herpes zoster (hochgradig), substantielle Reduktion von Herpes-Zoster-Ophthalmicus (hochgradig), wahrscheinlich postherpetische Neuralgia (moderat). Durable Schutzwirkung mind. 11 Jahre nachgewiesen (niedrig bis moderat). Mögliche Assoziation mit reduziertem Demenzrisiko (niedrig, durch healthy-vaccinee-bias-Unsicherheit).</w:t>
      </w:r>
    </w:p>
    <w:p>
      <w:r>
        <w:rPr>
          <w:b/>
          <w:sz w:val="19"/>
        </w:rPr>
        <w:t xml:space="preserve">Übertragbarkeit: </w:t>
      </w:r>
      <w:r>
        <w:rPr>
          <w:sz w:val="19"/>
        </w:rPr>
        <w:t>Norwegen und Schweden, vergleichbare altersstrukturierte Bevölkerungen und Impfregister; Befunde direkt auf deutsches Zoster-Impfprogramm übertragbar.</w:t>
      </w:r>
    </w:p>
    <w:p>
      <w:r>
        <w:rPr>
          <w:color w:val="5A7D3A"/>
          <w:sz w:val="18"/>
        </w:rPr>
        <w:t>https://pubmed.ncbi.nlm.nih.gov/42748460/</w:t>
      </w:r>
    </w:p>
    <w:p>
      <w:pPr>
        <w:pStyle w:val="Heading2"/>
      </w:pPr>
      <w:r>
        <w:t>Kulturell angepasste HPV-Aufklärung und Impfintention in Saudi-Arabien</w:t>
      </w:r>
    </w:p>
    <w:p>
      <w:r>
        <w:rPr>
          <w:i/>
          <w:color w:val="666666"/>
          <w:sz w:val="18"/>
        </w:rPr>
        <w:t>Elsayed EA et al.  ·  JMIR Public Health Surveill  ·  16.09.2026  ·  PMID 42748422</w:t>
      </w:r>
    </w:p>
    <w:p>
      <w:r>
        <w:t>Quasi-experimentelle Studie (Prä-Post mit Kontrollgruppe, n=380) zur Wirkung einer 45-minütigen, an lokale Werte adaptierten Schulungsintervention auf HPV-Wissen, Gesundheitsbewusstsein und Impfbereitschaft.</w:t>
      </w:r>
    </w:p>
    <w:p>
      <w:r>
        <w:rPr>
          <w:b/>
        </w:rPr>
        <w:t xml:space="preserve">Ergebnis: </w:t>
      </w:r>
      <w:r>
        <w:t>In der Interventionsgruppe zeigte sich bei 3-Monats-Nachverfolgung gegenüber Kontrollen: Wissen (β=0,84, p&lt;0,001, d=0,45), Bewusstsein (β=0,88, p&lt;0,001, d=0,44), Einstellung (β=0,70, p&lt;0,001, d=0,38), Impfabsicht (β=0,86, p&lt;0,001, d=0,82, großer Effekt). Effekte über Altersgruppen, Bildung und Gesundheitskompetenz konsistent.</w:t>
      </w:r>
    </w:p>
    <w:p>
      <w:r>
        <w:rPr>
          <w:b/>
          <w:sz w:val="19"/>
        </w:rPr>
        <w:t xml:space="preserve">Übertragbarkeit: </w:t>
      </w:r>
      <w:r>
        <w:rPr>
          <w:sz w:val="19"/>
        </w:rPr>
        <w:t>Saudi-Arabien, begrenzt übertragbar, aber Modell für kulturell sensible Beratung in diversen deutschen Bevölkerungsgruppen.</w:t>
      </w:r>
    </w:p>
    <w:p>
      <w:r>
        <w:rPr>
          <w:color w:val="5A7D3A"/>
          <w:sz w:val="18"/>
        </w:rPr>
        <w:t>https://pubmed.ncbi.nlm.nih.gov/42748422/</w:t>
      </w:r>
    </w:p>
    <w:p>
      <w:pPr>
        <w:pStyle w:val="Heading2"/>
      </w:pPr>
      <w:r>
        <w:t>Personalisierte Neoantigen-Impfstoff-Therapie bei Kopf-Hals-Karzinom vermeidet Rezidive</w:t>
      </w:r>
    </w:p>
    <w:p>
      <w:r>
        <w:rPr>
          <w:i/>
          <w:color w:val="666666"/>
          <w:sz w:val="18"/>
        </w:rPr>
        <w:t>Ottensmeier C et al.  ·  Nat Commun  ·  17.08.2026  ·  PMID 42744798</w:t>
      </w:r>
    </w:p>
    <w:p>
      <w:r>
        <w:t>Randomisierte Phase-I-Studie (n=32) zur Adjuvans-Therapie mit TG4050, einem individualisierten viralen Neoantigen-Impfstoff mit bis zu 30 tumor-spezifischen Neoantigenen, nach Standard-Chemotherapie vs. abwartendem Vorgehen.</w:t>
      </w:r>
    </w:p>
    <w:p>
      <w:r>
        <w:rPr>
          <w:b/>
        </w:rPr>
        <w:t xml:space="preserve">Ergebnis: </w:t>
      </w:r>
      <w:r>
        <w:t>Unmittelbare TG4050-Gruppe: 0 von 16 Rezidive nach 30 Monaten Nachverfolgung; Kontrollgruppe: 3 von 16 Rezidive. T-Zell-Antworten gegen Neoantigen in 73,3 % detektiert (Median 3 Neoantigen pro Responder), persistent über 1 Jahr. Neoantigen-spezifische CD8+ T-Zellen zeigten Effektor- und geweberesidente Marker.</w:t>
      </w:r>
    </w:p>
    <w:p>
      <w:r>
        <w:rPr>
          <w:b/>
          <w:sz w:val="19"/>
        </w:rPr>
        <w:t xml:space="preserve">Übertragbarkeit: </w:t>
      </w:r>
      <w:r>
        <w:rPr>
          <w:sz w:val="19"/>
        </w:rPr>
        <w:t>Multinationale Studie (UK, Frankreich, Niederlande), übertragbar auf deutsches Klinikum mit entsprechender molekularer Tumorcharakterisierung.</w:t>
      </w:r>
    </w:p>
    <w:p>
      <w:r>
        <w:rPr>
          <w:color w:val="5A7D3A"/>
          <w:sz w:val="18"/>
        </w:rPr>
        <w:t>https://pubmed.ncbi.nlm.nih.gov/42744798/</w:t>
      </w:r>
    </w:p>
    <w:p>
      <w:pPr>
        <w:pStyle w:val="Heading2"/>
      </w:pPr>
      <w:r>
        <w:t>HPV-Impfung bei Erwachsenen 27–45 Jahren: Quote und Trends in USA</w:t>
      </w:r>
    </w:p>
    <w:p>
      <w:r>
        <w:rPr>
          <w:i/>
          <w:color w:val="666666"/>
          <w:sz w:val="18"/>
        </w:rPr>
        <w:t>Fisher-Borne M et al.  ·  Hum Vaccin Immunother  ·  10.09.2026  ·  PMID 42723147</w:t>
      </w:r>
    </w:p>
    <w:p>
      <w:r>
        <w:t>Retrospektive Auswertung kommerzieller Claims-Daten 2019–2023 zur HPV-Impfquote bei erwachsenen Frauen und Männern unter shared clinical decision-making.</w:t>
      </w:r>
    </w:p>
    <w:p>
      <w:r>
        <w:rPr>
          <w:b/>
        </w:rPr>
        <w:t xml:space="preserve">Ergebnis: </w:t>
      </w:r>
      <w:r>
        <w:t>Annual HPV-Impfinitiation stieg von 0,21 % (2019) auf 0,54 % (2023); kumulativ über 5 Jahre 0,84 % bei 3–4 Mio. jährlich ungeimpften Personen. Apotheken als Impfort nahmen zu, regionale Variation 0,23–1,56 %.</w:t>
      </w:r>
    </w:p>
    <w:p>
      <w:r>
        <w:rPr>
          <w:b/>
          <w:sz w:val="19"/>
        </w:rPr>
        <w:t xml:space="preserve">Übertragbarkeit: </w:t>
      </w:r>
      <w:r>
        <w:rPr>
          <w:sz w:val="19"/>
        </w:rPr>
        <w:t>USA mit grundlegend anderer Versicherungsstruktur; aber Befunde zur Rolle von Apotheken und regionaler Varianz relevant für Deutschland.</w:t>
      </w:r>
    </w:p>
    <w:p>
      <w:r>
        <w:rPr>
          <w:color w:val="5A7D3A"/>
          <w:sz w:val="18"/>
        </w:rPr>
        <w:t>https://pubmed.ncbi.nlm.nih.gov/42723147/</w:t>
      </w:r>
    </w:p>
    <w:p>
      <w:pPr>
        <w:pStyle w:val="Heading2"/>
      </w:pPr>
      <w:r>
        <w:t>Immunosuppression-Entzug und mRNA-Impfung bei Nierentransplantierten</w:t>
      </w:r>
    </w:p>
    <w:p>
      <w:r>
        <w:rPr>
          <w:i/>
          <w:color w:val="666666"/>
          <w:sz w:val="18"/>
        </w:rPr>
        <w:t>Goerlich N et al.  ·  Front Immunol  ·  17.08.2026  ·  PMID 42676352</w:t>
      </w:r>
    </w:p>
    <w:p>
      <w:r>
        <w:t>Hochdimensionale Analyse der Immunzellkomposition bei Nierentransplantierten unter temporärem Mycophenolsäure-Entzug während mRNA-1273-Impfung.</w:t>
      </w:r>
    </w:p>
    <w:p>
      <w:r>
        <w:rPr>
          <w:b/>
        </w:rPr>
        <w:t xml:space="preserve">Ergebnis: </w:t>
      </w:r>
      <w:r>
        <w:t>Mycophenolsäure-Entzug war assoziiert mit erhöhten CD4+/CD8+ T-Zell-Frequenzen (p=0,039 bzw. p=0,001) und verminderten Monozyten- und B-Zell-Frequenzen (p=0,014 bzw. p=0,023). Effekte variierten je nach Transplantationsdauer und Alter; kein einzelner Marker war prädiktiv für Serokonversion.</w:t>
      </w:r>
    </w:p>
    <w:p>
      <w:r>
        <w:rPr>
          <w:b/>
          <w:sz w:val="19"/>
        </w:rPr>
        <w:t xml:space="preserve">Übertragbarkeit: </w:t>
      </w:r>
      <w:r>
        <w:rPr>
          <w:sz w:val="19"/>
        </w:rPr>
        <w:t>Deutsche Klinikstudie, direkt übertragbar auf deutsches Transplantationssystem mit vergleichbarer Immunsuppression.</w:t>
      </w:r>
    </w:p>
    <w:p>
      <w:r>
        <w:rPr>
          <w:color w:val="5A7D3A"/>
          <w:sz w:val="18"/>
        </w:rPr>
        <w:t>https://pubmed.ncbi.nlm.nih.gov/42676352/</w:t>
      </w:r>
    </w:p>
    <w:p>
      <w:pPr>
        <w:pStyle w:val="Heading2"/>
      </w:pPr>
      <w:r>
        <w:t>IL-33 und sST2 nach Tdap-Booster-Impfung bei finnischen Kindern</w:t>
      </w:r>
    </w:p>
    <w:p>
      <w:r>
        <w:rPr>
          <w:i/>
          <w:color w:val="666666"/>
          <w:sz w:val="18"/>
        </w:rPr>
        <w:t>Anabe D et al.  ·  Cytokine  ·  13.08.2026  ·  PMID 42594457</w:t>
      </w:r>
    </w:p>
    <w:p>
      <w:r>
        <w:t>Longitudinale Untersuchung von Interleukin-33 und löslichem ST2 in Serum vor und nach Tdap-IPV-Booster-Impfung in unterschiedlichen Altersgruppen (7–70 Jahre).</w:t>
      </w:r>
    </w:p>
    <w:p>
      <w:r>
        <w:rPr>
          <w:b/>
        </w:rPr>
        <w:t xml:space="preserve">Ergebnis: </w:t>
      </w:r>
      <w:r>
        <w:t>IL-33 in 70 % der Fälle nicht nachweisbar. Serum-sST2 zeigte signifikanten Anstieg über 365 Tage (p&lt;0,001), mit höherem Ausgangswert bei jüngeren Altersgruppen. Keine Assoziation zwischen IL-33/sST2 und Impfantwort oder Zytokinen.</w:t>
      </w:r>
    </w:p>
    <w:p>
      <w:r>
        <w:rPr>
          <w:b/>
          <w:sz w:val="19"/>
        </w:rPr>
        <w:t xml:space="preserve">Übertragbarkeit: </w:t>
      </w:r>
      <w:r>
        <w:rPr>
          <w:sz w:val="19"/>
        </w:rPr>
        <w:t>Finnland, vergleichbares skandinavisches Gesundheitssystem und Register; etablierte Referenzwerte für präklinische Marker.</w:t>
      </w:r>
    </w:p>
    <w:p>
      <w:r>
        <w:rPr>
          <w:color w:val="5A7D3A"/>
          <w:sz w:val="18"/>
        </w:rPr>
        <w:t>https://pubmed.ncbi.nlm.nih.gov/42594457/</w:t>
      </w:r>
    </w:p>
    <w:p>
      <w:pPr>
        <w:pStyle w:val="Heading1"/>
      </w:pPr>
      <w:r>
        <w:t>Aufgenommen am 16.09.2026</w:t>
      </w:r>
    </w:p>
    <w:p>
      <w:pPr>
        <w:pStyle w:val="Heading2"/>
      </w:pPr>
      <w:r>
        <w:t>Digitale Assistenten für HPV-Impfung und Gebärmutterhalskrebs-Screening – was funktioniert?</w:t>
      </w:r>
    </w:p>
    <w:p>
      <w:r>
        <w:rPr>
          <w:i/>
          <w:color w:val="666666"/>
          <w:sz w:val="18"/>
        </w:rPr>
        <w:t>Umbetzhanova A et al.  ·  Front Public Health  ·  31.08.2026  ·  PMID 42741336</w:t>
      </w:r>
    </w:p>
    <w:p>
      <w:r>
        <w:t>Systematische Übersicht von 14 Studien (2016–2026) zur Frage, ob interaktive digitale Tools (Chatbots, Apps, Serious Games) HPV-Impfung und Gebärmutterhals-Screening erhöhen.</w:t>
      </w:r>
    </w:p>
    <w:p>
      <w:r>
        <w:rPr>
          <w:b/>
        </w:rPr>
        <w:t xml:space="preserve">Ergebnis: </w:t>
      </w:r>
      <w:r>
        <w:t>Chatbots zeigten vielversprechende Kurzzeit-Effekte auf Termin-Buchung (moderate Evidenz), aber hohe Abbruch-Quoten bei Mehrfach-Dosen. Theorie-basierte Apps erhöhten Zytologie-Inanspruchnahme kurzfristig (moderate Evidenz). Ein Serious Game korrelierte mit höheren CIN2+-Erkennungsraten, aber Confounding war schwerwiegend. Insgesamt: moderate Kurzzeit-Effekte, aber unzureichende Evidenz für Dauer.</w:t>
      </w:r>
    </w:p>
    <w:p>
      <w:r>
        <w:rPr>
          <w:b/>
          <w:sz w:val="19"/>
        </w:rPr>
        <w:t xml:space="preserve">Übertragbarkeit: </w:t>
      </w:r>
      <w:r>
        <w:rPr>
          <w:sz w:val="19"/>
        </w:rPr>
        <w:t>Mehrländer-Übersicht, digitale Hürden international ähnlich</w:t>
      </w:r>
    </w:p>
    <w:p>
      <w:r>
        <w:rPr>
          <w:color w:val="5A7D3A"/>
          <w:sz w:val="18"/>
        </w:rPr>
        <w:t>https://pubmed.ncbi.nlm.nih.gov/42741336/</w:t>
      </w:r>
    </w:p>
    <w:p>
      <w:pPr>
        <w:pStyle w:val="Heading2"/>
      </w:pPr>
      <w:r>
        <w:t>Impfen in Schulen: Was Schulkrankenpfleger in Colorado als Barrieren berichten</w:t>
      </w:r>
    </w:p>
    <w:p>
      <w:r>
        <w:rPr>
          <w:i/>
          <w:color w:val="666666"/>
          <w:sz w:val="18"/>
        </w:rPr>
        <w:t>Nienstedt L et al.  ·  J Sch Health  ·  Okt. 2026  ·  PMID 42740714</w:t>
      </w:r>
    </w:p>
    <w:p>
      <w:r>
        <w:t>Querschnittsbefragung von 368 Schulkrankenpflegern in Colorado 2024, ob und wie sie schulgebundene Impfaktionen (SAVEs) umsetzten.</w:t>
      </w:r>
    </w:p>
    <w:p>
      <w:r>
        <w:rPr>
          <w:b/>
        </w:rPr>
        <w:t xml:space="preserve">Ergebnis: </w:t>
      </w:r>
      <w:r>
        <w:t>Schulen ohne SAVEs nannten Mangel an Leitlinien (Top-3-Barriere), fehlende Personalzeit und mangelnde externe Partnerschaften als Haupthindernisse. In ländlichen Schulen rangierte Impf-Politisierung unter Top-Barrieren; in Schulen mit niedrigem Einkommen und Gymnasien war Zeitdruck dominant. Schulen mit SAVEs betont externe Partnerschaften und elterliches Vertrauen als Erfolsfaktoren.</w:t>
      </w:r>
    </w:p>
    <w:p>
      <w:r>
        <w:rPr>
          <w:b/>
          <w:sz w:val="19"/>
        </w:rPr>
        <w:t xml:space="preserve">Übertragbarkeit: </w:t>
      </w:r>
      <w:r>
        <w:rPr>
          <w:sz w:val="19"/>
        </w:rPr>
        <w:t>USA - nur Zugangswegs-Hürden übertragbar, nicht System</w:t>
      </w:r>
    </w:p>
    <w:p>
      <w:r>
        <w:rPr>
          <w:color w:val="5A7D3A"/>
          <w:sz w:val="18"/>
        </w:rPr>
        <w:t>https://pubmed.ncbi.nlm.nih.gov/42740714/</w:t>
      </w:r>
    </w:p>
    <w:p>
      <w:pPr>
        <w:pStyle w:val="Heading2"/>
      </w:pPr>
      <w:r>
        <w:t>Grippeschutz bei Älteren: Bildung und Umgebung beeinflussen Impfquote</w:t>
      </w:r>
    </w:p>
    <w:p>
      <w:r>
        <w:rPr>
          <w:i/>
          <w:color w:val="666666"/>
          <w:sz w:val="18"/>
        </w:rPr>
        <w:t>Zhang C et al.  ·  Zhonghua Yu Fang Yi Xue Za Zhi  ·  06.09.2026  ·  PMID 42736149</w:t>
      </w:r>
    </w:p>
    <w:p>
      <w:r>
        <w:t>Befragung von 700 Personen ≥60 Jahren in Shaanxi (China) 2025 zu Einflussfaktoren auf Grippeimpfung.</w:t>
      </w:r>
    </w:p>
    <w:p>
      <w:r>
        <w:rPr>
          <w:b/>
        </w:rPr>
        <w:t xml:space="preserve">Ergebnis: </w:t>
      </w:r>
      <w:r>
        <w:t>49,7% geimpft, 50,3% ungeimpft. Schutzfaktoren: Hochschulbildung (OR 2,77), Stadtwohnung (OR 1,94), hohes Infektionsrisiko-Bewusstsein (OR 4,89), Glaube an Impfnutzen (OR 10,96), Familie/Freunde mit Impfgeschichte (OR 5,07). Bildung und soziales Umfeld sind stärkste Prädiktoren – nicht Zugang allein.</w:t>
      </w:r>
    </w:p>
    <w:p>
      <w:r>
        <w:rPr>
          <w:b/>
          <w:sz w:val="19"/>
        </w:rPr>
        <w:t xml:space="preserve">Übertragbarkeit: </w:t>
      </w:r>
      <w:r>
        <w:rPr>
          <w:sz w:val="19"/>
        </w:rPr>
        <w:t>China - Befund zu Risiko-Wahrnehmung und Vertrauen transnational relevant</w:t>
      </w:r>
    </w:p>
    <w:p>
      <w:r>
        <w:rPr>
          <w:color w:val="5A7D3A"/>
          <w:sz w:val="18"/>
        </w:rPr>
        <w:t>https://pubmed.ncbi.nlm.nih.gov/42736149/</w:t>
      </w:r>
    </w:p>
    <w:p>
      <w:pPr>
        <w:pStyle w:val="Heading2"/>
      </w:pPr>
      <w:r>
        <w:t>RSV-Impfung in der Schwangerschaft und Frühgeburtsrisiko: Metaanalyse</w:t>
      </w:r>
    </w:p>
    <w:p>
      <w:r>
        <w:rPr>
          <w:i/>
          <w:color w:val="666666"/>
          <w:sz w:val="18"/>
        </w:rPr>
        <w:t>Leskinen N et al.  ·  Immun Inflamm Dis  ·  Sept. 2026  ·  PMID 42712161</w:t>
      </w:r>
    </w:p>
    <w:p>
      <w:r>
        <w:t>Metaanalyse von 7 Studien (3 RCTs, 4 Beobachtungsstudien; insgesamt ~17.000 Geburten) zur Frage, ob mütterliche RSV-PreF-Impfung Frühgeburten oder NICU-Aufnahmen erhöht.</w:t>
      </w:r>
    </w:p>
    <w:p>
      <w:r>
        <w:rPr>
          <w:b/>
        </w:rPr>
        <w:t xml:space="preserve">Ergebnis: </w:t>
      </w:r>
      <w:r>
        <w:t>RCTs zeigten erhöhtes Frühgeburtsrisiko (RR 1,26, 95%-KI 1,08–1,46); Beobachtungsstudien nicht (RR 0,78, 95%-KI 0,46–1,32). Gepoolte Analyse: kein Gesamteffekt (RR 0,96, 95%-KI 0,68–1,38). NICU-Aufnahme nicht erhöht (RR 0,74). Evidenzsicherheit niedrig bis sehr niedrig; Überwachung empfohlen.</w:t>
      </w:r>
    </w:p>
    <w:p>
      <w:r>
        <w:rPr>
          <w:b/>
          <w:sz w:val="19"/>
        </w:rPr>
        <w:t xml:space="preserve">Übertragbarkeit: </w:t>
      </w:r>
      <w:r>
        <w:rPr>
          <w:sz w:val="19"/>
        </w:rPr>
        <w:t>Mehrländer-Studie, übertragbar auf europaähnliche Settings</w:t>
      </w:r>
    </w:p>
    <w:p>
      <w:r>
        <w:rPr>
          <w:color w:val="5A7D3A"/>
          <w:sz w:val="18"/>
        </w:rPr>
        <w:t>https://pubmed.ncbi.nlm.nih.gov/42712161/</w:t>
      </w:r>
    </w:p>
    <w:p>
      <w:pPr>
        <w:pStyle w:val="Heading2"/>
      </w:pPr>
      <w:r>
        <w:t>Auffrischimpfung gegen JN.1-Variante aktiviert neue B-Zell-Subpopulationen</w:t>
      </w:r>
    </w:p>
    <w:p>
      <w:r>
        <w:rPr>
          <w:i/>
          <w:color w:val="666666"/>
          <w:sz w:val="18"/>
        </w:rPr>
        <w:t>Stankov MV et al.  ·  Nat Commun  ·  24.07.2026  ·  PMID 42498786</w:t>
      </w:r>
    </w:p>
    <w:p>
      <w:r>
        <w:t>Deutsche Längsschnittstudie (n=42, überwiegend mehrfach Geimpfte und Infizierte) untersuchte, wie JN.1-adaptierte mRNA-Booster die Antikörper- und B-Zell-Antwort verändern.</w:t>
      </w:r>
    </w:p>
    <w:p>
      <w:r>
        <w:rPr>
          <w:b/>
        </w:rPr>
        <w:t xml:space="preserve">Ergebnis: </w:t>
      </w:r>
      <w:r>
        <w:t>IgG-Bindung und Neutralisierungstiter gegen JN.1 stiegen; Antigen-spezifische Memory-B-Zellen zeigten durch Mutationen (somatic hypermutation) verbesserte JN.1-Bindung, ohne dass neue naive B-Zellen massiv rekrutiert wurden. Effekt: Reifung vorbestehender Memory-B-Zellen statt Neuausrichtung.</w:t>
      </w:r>
    </w:p>
    <w:p>
      <w:r>
        <w:rPr>
          <w:b/>
          <w:sz w:val="19"/>
        </w:rPr>
        <w:t xml:space="preserve">Übertragbarkeit: </w:t>
      </w:r>
      <w:r>
        <w:rPr>
          <w:sz w:val="19"/>
        </w:rPr>
        <w:t>Deutschland, vergleichbare Impfstrategie und Dokumentation</w:t>
      </w:r>
    </w:p>
    <w:p>
      <w:r>
        <w:rPr>
          <w:color w:val="5A7D3A"/>
          <w:sz w:val="18"/>
        </w:rPr>
        <w:t>https://pubmed.ncbi.nlm.nih.gov/42498786/</w:t>
      </w:r>
    </w:p>
    <w:p>
      <w:pPr>
        <w:pStyle w:val="Heading2"/>
      </w:pPr>
      <w:r>
        <w:t>CAR-T-Therapien in Europa: Axicabtagene vs. Tisagenlecleucel bei großzelligem Lymphom</w:t>
      </w:r>
    </w:p>
    <w:p>
      <w:r>
        <w:rPr>
          <w:i/>
          <w:color w:val="666666"/>
          <w:sz w:val="18"/>
        </w:rPr>
        <w:t>Li H et al.  ·  PeerJ  ·  06.07.2026  ·  PMID 42428526</w:t>
      </w:r>
    </w:p>
    <w:p>
      <w:r>
        <w:t>Systematische Übersicht von 8 europäischen Kohortenstudien mit 2.178 Patienten verglich Wirksamkeit und Toxizität zweier CAR-T-Produkte gegen diffuses großzelliges B-Zell-Lymphom.</w:t>
      </w:r>
    </w:p>
    <w:p>
      <w:r>
        <w:rPr>
          <w:b/>
        </w:rPr>
        <w:t xml:space="preserve">Ergebnis: </w:t>
      </w:r>
      <w:r>
        <w:t>Axicabtagene zeigte höhere 3-Monats-Ansprechquoten (signifikant, p nicht genannt), aber niedrigere 12-Monats-progressionsfreie Überlebensraten; höhere Raten für Zytokinfreibsetzungssyndrom und neurotoxisches Syndrom (ICANS) alle Grade sowie Grade ≥3 ICANS, häufigere Tocilizumab-Gabe. Unter europäischen Alltagsbedingungen zeigt sich ein Wirksamkeits-Toxizitäts-Trade-off.</w:t>
      </w:r>
    </w:p>
    <w:p>
      <w:r>
        <w:rPr>
          <w:b/>
          <w:sz w:val="19"/>
        </w:rPr>
        <w:t xml:space="preserve">Übertragbarkeit: </w:t>
      </w:r>
      <w:r>
        <w:rPr>
          <w:sz w:val="19"/>
        </w:rPr>
        <w:t>Europa - acht Kohorten, vergleichbares Versicherungssystem</w:t>
      </w:r>
    </w:p>
    <w:p>
      <w:r>
        <w:rPr>
          <w:color w:val="5A7D3A"/>
          <w:sz w:val="18"/>
        </w:rPr>
        <w:t>https://pubmed.ncbi.nlm.nih.gov/42428526/</w:t>
      </w:r>
    </w:p>
    <w:p>
      <w:pPr>
        <w:pStyle w:val="Heading1"/>
      </w:pPr>
      <w:r>
        <w:t>Aufgenommen am 15.09.2026</w:t>
      </w:r>
    </w:p>
    <w:p>
      <w:pPr>
        <w:pStyle w:val="Heading2"/>
      </w:pPr>
      <w:r>
        <w:t>COVID-19-Pandemie verbesserte Wissen und Einstellung zur Polioimpfung in Pakistan</w:t>
      </w:r>
    </w:p>
    <w:p>
      <w:r>
        <w:rPr>
          <w:i/>
          <w:color w:val="666666"/>
          <w:sz w:val="18"/>
        </w:rPr>
        <w:t>Ullah A et al.  ·  East Mediterr Health J  ·  03.09.2026  ·  PMID 42734198</w:t>
      </w:r>
    </w:p>
    <w:p>
      <w:r>
        <w:t>Querschnittsstudie mit 308 Eltern von Kindern unter fünf Jahren in Nord-Waziristan, Pakistan (Januar bis April 2025) zum Wissensstand über Polioimpfung vor und nach COVID-19.</w:t>
      </w:r>
    </w:p>
    <w:p>
      <w:r>
        <w:rPr>
          <w:b/>
        </w:rPr>
        <w:t xml:space="preserve">Ergebnis: </w:t>
      </w:r>
      <w:r>
        <w:t>Mittlere Wissenspunktzahl stieg von 6,2±2,3 (vor COVID-19) auf 8,3±2,1 (nach COVID-19; p&lt;0,0001). Gutes Wissen (Punktzahl ≥9) nahm von 36,3 % auf 58,7 % zu, Fehlvorstellungen sanken von 64,9 % auf 35,1 %. Empfehlungen von Fachpersonal (85 %), Social-Media-Kampagnen (76 %) und Verfechter religiöser Führer (55 %) trugen zur Verbesserung bei.</w:t>
      </w:r>
    </w:p>
    <w:p>
      <w:r>
        <w:rPr>
          <w:b/>
          <w:sz w:val="19"/>
        </w:rPr>
        <w:t xml:space="preserve">Übertragbarkeit: </w:t>
      </w:r>
      <w:r>
        <w:rPr>
          <w:sz w:val="19"/>
        </w:rPr>
        <w:t>Pakistan – Impfakzeptanz-Befunde, aber anderes Gesundheitssystem</w:t>
      </w:r>
    </w:p>
    <w:p>
      <w:r>
        <w:rPr>
          <w:color w:val="5A7D3A"/>
          <w:sz w:val="18"/>
        </w:rPr>
        <w:t>https://pubmed.ncbi.nlm.nih.gov/42734198/</w:t>
      </w:r>
    </w:p>
    <w:p>
      <w:pPr>
        <w:pStyle w:val="Heading2"/>
      </w:pPr>
      <w:r>
        <w:t>Herpes Zoster-Impfstoff LZ901 schützt 91,6 Prozent der Geimpften vor Erkrankung</w:t>
      </w:r>
    </w:p>
    <w:p>
      <w:r>
        <w:rPr>
          <w:i/>
          <w:color w:val="666666"/>
          <w:sz w:val="18"/>
        </w:rPr>
        <w:t>Jin P et al.  ·  Nat Commun  ·  07.08.2026  ·  PMID 42733065</w:t>
      </w:r>
    </w:p>
    <w:p>
      <w:r>
        <w:t>Randomisierte, placebokontrollierte Phase-3-Studie zur Wirksamkeit und Sicherheit des Herpes-Zoster-Impfstoffs LZ901 (rekombinante gE-Fc-Fusionprotein) bei 26 018 Erwachsenen ab 40 Jahren über 12 Monate.</w:t>
      </w:r>
    </w:p>
    <w:p>
      <w:r>
        <w:rPr>
          <w:b/>
        </w:rPr>
        <w:t xml:space="preserve">Ergebnis: </w:t>
      </w:r>
      <w:r>
        <w:t>Impfeffektivität gegen Herpes Zoster 91,6 % (95%-KI 86,3–95,3; p&lt;0,001); bei 40–69 Jahren 93,9 %, bei ≥70 Jahren 66,9 %. Gegen Post-Zoster-Neuralgie 95,9 % (95%-KI 63,9–99,9). Injektionsstellen- und systemische Reaktionen erhöht, Grad-3-Reaktionen selten (0,3 % vs. 0,4 % Placebo), keine schwerwiegenden unerwünschten Ereignisse.</w:t>
      </w:r>
    </w:p>
    <w:p>
      <w:r>
        <w:rPr>
          <w:b/>
          <w:sz w:val="19"/>
        </w:rPr>
        <w:t xml:space="preserve">Übertragbarkeit: </w:t>
      </w:r>
      <w:r>
        <w:rPr>
          <w:sz w:val="19"/>
        </w:rPr>
        <w:t>China, vergleichbare epidemiologische Zielgruppe und klinische Endpunkte</w:t>
      </w:r>
    </w:p>
    <w:p>
      <w:r>
        <w:rPr>
          <w:color w:val="5A7D3A"/>
          <w:sz w:val="18"/>
        </w:rPr>
        <w:t>https://pubmed.ncbi.nlm.nih.gov/42733065/</w:t>
      </w:r>
    </w:p>
    <w:p>
      <w:pPr>
        <w:pStyle w:val="Heading2"/>
      </w:pPr>
      <w:r>
        <w:t>Mobile-App zur HPV-Impfberatung erhöhte Impfrate bei Kindern auf 48 Prozent</w:t>
      </w:r>
    </w:p>
    <w:p>
      <w:r>
        <w:rPr>
          <w:i/>
          <w:color w:val="666666"/>
          <w:sz w:val="18"/>
        </w:rPr>
        <w:t>Cunningham-Erves J et al.  ·  JMIR Cancer  ·  09.09.2026  ·  PMID 42715554</w:t>
      </w:r>
    </w:p>
    <w:p>
      <w:r>
        <w:t>Pilot-RCT (Juni–September 2023) in zwei Stadtkliniken Tennessee mit 57 Eltern von Kindern 9–17 Jahren. HPVVaxFacts-App vermittelt tailorierte Impfaufklärung vor Klinikbesuch versus Ernährungsedukation (Aufmerksamkeitskontrolle).</w:t>
      </w:r>
    </w:p>
    <w:p>
      <w:r>
        <w:rPr>
          <w:b/>
        </w:rPr>
        <w:t xml:space="preserve">Ergebnis: </w:t>
      </w:r>
      <w:r>
        <w:t>HPV-Impfeinleitung Interventionsgruppe 48 %, Kontrollgruppe 17 % (Differenz 0,24; 95%-KI 0,03–0,46; p=0,01). Wissensgewinne und Besorgnis-Reduktion in der App-Gruppe größer, aber nicht statistisch signifikant (p=0,13 und p=0,14). 81 % der Eltern nutzten die App, Mehrheit fand Protokoll und App akzeptabel.</w:t>
      </w:r>
    </w:p>
    <w:p>
      <w:r>
        <w:rPr>
          <w:b/>
          <w:sz w:val="19"/>
        </w:rPr>
        <w:t xml:space="preserve">Übertragbarkeit: </w:t>
      </w:r>
      <w:r>
        <w:rPr>
          <w:sz w:val="19"/>
        </w:rPr>
        <w:t>USA – Impfakzeptanz-Intervention, transferierbar nur für Designprinzipien</w:t>
      </w:r>
    </w:p>
    <w:p>
      <w:r>
        <w:rPr>
          <w:color w:val="5A7D3A"/>
          <w:sz w:val="18"/>
        </w:rPr>
        <w:t>https://pubmed.ncbi.nlm.nih.gov/42715554/</w:t>
      </w:r>
    </w:p>
    <w:p>
      <w:pPr>
        <w:pStyle w:val="Heading2"/>
      </w:pPr>
      <w:r>
        <w:t>Verständnis der Herpes-Zoster-Erkrankung steigert Impfquote bei älteren Erwachsenen in China</w:t>
      </w:r>
    </w:p>
    <w:p>
      <w:r>
        <w:rPr>
          <w:i/>
          <w:color w:val="666666"/>
          <w:sz w:val="18"/>
        </w:rPr>
        <w:t>Cao H et al.  ·  Hum Vaccin Immunother  ·  08.09.2026  ·  PMID 42708543</w:t>
      </w:r>
    </w:p>
    <w:p>
      <w:r>
        <w:t>Querschnittsstudie mit 1556 Bürgern ab 60 Jahren aus Shenzhen, China (August–Oktober 2024) zu psychosozialen und familiären Faktoren der Herpes-Zoster-Impfakzeptanz.</w:t>
      </w:r>
    </w:p>
    <w:p>
      <w:r>
        <w:rPr>
          <w:b/>
        </w:rPr>
        <w:t xml:space="preserve">Ergebnis: </w:t>
      </w:r>
      <w:r>
        <w:t>8,0 % der Teilnehmer waren geimpft. Besseres Verständnis (Kohärenz) war mit höherer Impfquote assoziiert (AOR 1,15; 95%-KI 1,07–1,24). Impfmüdigkeit korrelierte mit niedrigerer Quote (AOR 0,79; 95%-KI 0,62–0,99). Stark modifizierbare psychosoziale Faktoren identifiziert.</w:t>
      </w:r>
    </w:p>
    <w:p>
      <w:r>
        <w:rPr>
          <w:b/>
          <w:sz w:val="19"/>
        </w:rPr>
        <w:t xml:space="preserve">Übertragbarkeit: </w:t>
      </w:r>
      <w:r>
        <w:rPr>
          <w:sz w:val="19"/>
        </w:rPr>
        <w:t>China – Versorgungskontext anderer, Impfskepsis-Mechanismen aber übertragbar</w:t>
      </w:r>
    </w:p>
    <w:p>
      <w:r>
        <w:rPr>
          <w:color w:val="5A7D3A"/>
          <w:sz w:val="18"/>
        </w:rPr>
        <w:t>https://pubmed.ncbi.nlm.nih.gov/42708543/</w:t>
      </w:r>
    </w:p>
    <w:p>
      <w:pPr>
        <w:pStyle w:val="Heading2"/>
      </w:pPr>
      <w:r>
        <w:t>Altersabhängige Immunabläufe erklären unterschiedliche Influenza-Impfwirksamkeit über Lebensalter</w:t>
      </w:r>
    </w:p>
    <w:p>
      <w:r>
        <w:rPr>
          <w:i/>
          <w:color w:val="666666"/>
          <w:sz w:val="18"/>
        </w:rPr>
        <w:t>Liu J et al.  ·  Front Immunol  ·  24.08.2026  ·  PMID 42707705</w:t>
      </w:r>
    </w:p>
    <w:p>
      <w:r>
        <w:t>Narrativer Review zu Einflussfaktoren des Alters auf Influenza-Impfeffektivität und zu lebensalter-spezifischen Immunmechanismen von der Entwicklung über Reifung bis zur Immunoseneszenz.</w:t>
      </w:r>
    </w:p>
    <w:p>
      <w:r>
        <w:rPr>
          <w:b/>
        </w:rPr>
        <w:t xml:space="preserve">Ergebnis: </w:t>
      </w:r>
      <w:r>
        <w:t>Influenza-Impfeffektivität zeigt erhebliche altersabhängige Heterogenität. Immun-Remodellierung über die Lebensspanne prägt Vakzin-Reaktionen. Review schlägt altersgerechte Impfstoff-Optimierungsstrategie vor: spezifische Formulierungen für Kinder, Erwachsene und ältere Menschen statt ‚one-dose-fits-all'-Modell. Theoretische Grundlage für Präzisions-Impfparadigma gelegt.</w:t>
      </w:r>
    </w:p>
    <w:p>
      <w:r>
        <w:rPr>
          <w:b/>
          <w:sz w:val="19"/>
        </w:rPr>
        <w:t xml:space="preserve">Übertragbarkeit: </w:t>
      </w:r>
      <w:r>
        <w:rPr>
          <w:sz w:val="19"/>
        </w:rPr>
        <w:t>China (Institut), aber Immunologie-Mechanismen universal</w:t>
      </w:r>
    </w:p>
    <w:p>
      <w:r>
        <w:rPr>
          <w:color w:val="5A7D3A"/>
          <w:sz w:val="18"/>
        </w:rPr>
        <w:t>https://pubmed.ncbi.nlm.nih.gov/42707705/</w:t>
      </w:r>
    </w:p>
    <w:p>
      <w:pPr>
        <w:pStyle w:val="Heading2"/>
      </w:pPr>
      <w:r>
        <w:t>23-valente Pneumokokken-Polysaccharidimpfung senkte ambulante Pneumonie um knapp 20 Prozent</w:t>
      </w:r>
    </w:p>
    <w:p>
      <w:r>
        <w:rPr>
          <w:i/>
          <w:color w:val="666666"/>
          <w:sz w:val="18"/>
        </w:rPr>
        <w:t>Vernooij FS et al.  ·  Epidemiol Infect  ·  23.07.2026  ·  PMID 42487216</w:t>
      </w:r>
    </w:p>
    <w:p>
      <w:r>
        <w:t>Regression-Discontinuity-Analyse der Wirkung der PPV23-Impfung auf nicht-invasive Pneumokokken-Pneumonie bei Erwachsenen über 60 Jahren in den Niederlanden zwischen 2016 und 2023.</w:t>
      </w:r>
    </w:p>
    <w:p>
      <w:r>
        <w:rPr>
          <w:b/>
        </w:rPr>
        <w:t xml:space="preserve">Ergebnis: </w:t>
      </w:r>
      <w:r>
        <w:t>Gesamtwirksamkeit 19,7 % (95%-KI 8,5–29,7). Die Schutzwirkung nahm über die Zeit seit Impfberechtigung ab, blieb aber auch nach drei Jahren deutlich vorhanden. Daten aus 14 Laboren mit geschätzter Abdeckung von 34,9 % der niederländischen Bevölkerung.</w:t>
      </w:r>
    </w:p>
    <w:p>
      <w:r>
        <w:rPr>
          <w:b/>
          <w:sz w:val="19"/>
        </w:rPr>
        <w:t xml:space="preserve">Übertragbarkeit: </w:t>
      </w:r>
      <w:r>
        <w:rPr>
          <w:sz w:val="19"/>
        </w:rPr>
        <w:t>Niederlande, vergleichbares Versicherungssystem und Laborregister</w:t>
      </w:r>
    </w:p>
    <w:p>
      <w:r>
        <w:rPr>
          <w:color w:val="5A7D3A"/>
          <w:sz w:val="18"/>
        </w:rPr>
        <w:t>https://pubmed.ncbi.nlm.nih.gov/42487216/</w:t>
      </w:r>
    </w:p>
    <w:p>
      <w:pPr>
        <w:pStyle w:val="Heading1"/>
      </w:pPr>
      <w:r>
        <w:t>Aufgenommen am 14.09.2026</w:t>
      </w:r>
    </w:p>
    <w:p>
      <w:pPr>
        <w:pStyle w:val="Heading2"/>
      </w:pPr>
      <w:r>
        <w:t>Impfkampagnen-Monitoring: Abweichungen zwischen Felderhebungen und Nachbarschafts-Umfragen</w:t>
      </w:r>
    </w:p>
    <w:p>
      <w:r>
        <w:rPr>
          <w:i/>
          <w:color w:val="666666"/>
          <w:sz w:val="18"/>
        </w:rPr>
        <w:t>Thakkar N  ·  Gates Open Res  ·  01.09.2026  ·  PMID 42732098</w:t>
      </w:r>
    </w:p>
    <w:p>
      <w:r>
        <w:t>Analyse von Impfteam-Tallies (tägliche Dokumentation Geimpfter) versus Post-Campaign Coverage Surveys (PCCS) in Kano-Kampagne 2023 (Masern, Nigeria) unter Verwendung von Capture-Recapture-Methoden.</w:t>
      </w:r>
    </w:p>
    <w:p>
      <w:r>
        <w:rPr>
          <w:b/>
        </w:rPr>
        <w:t xml:space="preserve">Ergebnis: </w:t>
      </w:r>
      <w:r>
        <w:t>Erhebliche Diskrepanzen zwischen Tally-basierten Recapture-Schätzungen und PCCS-Daten. Tally-Daten ermöglichen präzise, quasi-zeitgleiche Monitoring und hohe räumliche Auflösung. Verschiedene Verzerrungsmodelle erklären Abweichungen: Doppelzählungen, fehlende Dokumentation, Non-Response in PCCS. Tally-Sheets als unkonventionelle, aber nachvollziehbare Populationsstichprobe zur Echtzeitbewertung von Implementierungsqualität.</w:t>
      </w:r>
    </w:p>
    <w:p>
      <w:r>
        <w:rPr>
          <w:b/>
          <w:sz w:val="19"/>
        </w:rPr>
        <w:t xml:space="preserve">Übertragbarkeit: </w:t>
      </w:r>
      <w:r>
        <w:rPr>
          <w:sz w:val="19"/>
        </w:rPr>
        <w:t>Nigeria/Subsahara-Kontext, Methodik auf deutsche Kampagnen-Evaluation anwendbar, insbes. zur Echtzeit-Qualitätskontrolle.</w:t>
      </w:r>
    </w:p>
    <w:p>
      <w:r>
        <w:rPr>
          <w:color w:val="5A7D3A"/>
          <w:sz w:val="18"/>
        </w:rPr>
        <w:t>https://pubmed.ncbi.nlm.nih.gov/42732098/</w:t>
      </w:r>
    </w:p>
    <w:p>
      <w:pPr>
        <w:pStyle w:val="Heading2"/>
      </w:pPr>
      <w:r>
        <w:t>Verzögerte Impfungen: Globale Systeme erfassen Catch-up-Dosen unzureichend</w:t>
      </w:r>
    </w:p>
    <w:p>
      <w:r>
        <w:rPr>
          <w:i/>
          <w:color w:val="666666"/>
          <w:sz w:val="18"/>
        </w:rPr>
        <w:t>Danovaro-Holliday MC et al.  ·  Gates Open Res  ·  01.09.2026  ·  PMID 42732096</w:t>
      </w:r>
    </w:p>
    <w:p>
      <w:r>
        <w:t>Analyse von WHO/UNICEF-Daten aus 194 Ländern (2016–2022) zur Fähigkeit von Immunisierungssystemen, verzögerte (Catch-up-)Impfdosen zu dokumentieren und zu monitoren.</w:t>
      </w:r>
    </w:p>
    <w:p>
      <w:r>
        <w:rPr>
          <w:b/>
        </w:rPr>
        <w:t xml:space="preserve">Ergebnis: </w:t>
      </w:r>
      <w:r>
        <w:t>Nur 55,5–64,4 % der Länder verfügten über Systeme zur Erfassung verzögerter Dosen; in Amerika (AMR) 77,1–82,9 %. Median-Anteil verzögerter MCV1-Dosen: 4,4 %. Catch-up-Aktivitäten würden gemeldete Impfquoten um ca. 4 Prozentpunkte erhöhen. Erhebliche regionale Unterschiede je nach Einkommensstatus und Gavi-Teilnahme.</w:t>
      </w:r>
    </w:p>
    <w:p>
      <w:r>
        <w:rPr>
          <w:b/>
          <w:sz w:val="19"/>
        </w:rPr>
        <w:t xml:space="preserve">Übertragbarkeit: </w:t>
      </w:r>
      <w:r>
        <w:rPr>
          <w:sz w:val="19"/>
        </w:rPr>
        <w:t>Globale Systemanalyse, zeigt Schwächen in deutscher Impfdokumentation (Deutschland hat kein zentrales Impfregister).</w:t>
      </w:r>
    </w:p>
    <w:p>
      <w:r>
        <w:rPr>
          <w:color w:val="5A7D3A"/>
          <w:sz w:val="18"/>
        </w:rPr>
        <w:t>https://pubmed.ncbi.nlm.nih.gov/42732096/</w:t>
      </w:r>
    </w:p>
    <w:p>
      <w:pPr>
        <w:pStyle w:val="Heading2"/>
      </w:pPr>
      <w:r>
        <w:t>Masern als Messlatte: Warum Eradikation Impfsysteme stärkt</w:t>
      </w:r>
    </w:p>
    <w:p>
      <w:r>
        <w:rPr>
          <w:i/>
          <w:color w:val="666666"/>
          <w:sz w:val="18"/>
        </w:rPr>
        <w:t>Durrheim DN et al.  ·  Hum Vaccin Immunother  ·  12.09.2026  ·  PMID 42730634</w:t>
      </w:r>
    </w:p>
    <w:p>
      <w:r>
        <w:t>Perspektive zur strategischen Bedeutung von Masern-Eradikation als Katalysator für Aufbau stabiler Impfprogramme und Gesundheitssysteme, besonders im Kontext steigender Ausbrüche.</w:t>
      </w:r>
    </w:p>
    <w:p>
      <w:r>
        <w:rPr>
          <w:b/>
        </w:rPr>
        <w:t xml:space="preserve">Ergebnis: </w:t>
      </w:r>
      <w:r>
        <w:t>Masern-Eradikation erfordert und katalysiert Fähigkeiten, die auch grundlegend für resiliente Systeme sind: hohe Routineimpfquoten, sensitive Surveillance, qualitätsgesicherte Labornetzwerke, schnelle Ausbruchreaktion, Gemeinschaftsbeteiligung. Aktuelle Ausbrüche signalisieren Systemfragilitäten und bieten Gelegenheit zur Stärkung von Impfgerechtigkeit.</w:t>
      </w:r>
    </w:p>
    <w:p>
      <w:r>
        <w:rPr>
          <w:b/>
          <w:sz w:val="19"/>
        </w:rPr>
        <w:t xml:space="preserve">Übertragbarkeit: </w:t>
      </w:r>
      <w:r>
        <w:rPr>
          <w:sz w:val="19"/>
        </w:rPr>
        <w:t>Conceptual framework zur Systemstärkung, international anwendbar, besonders relevant für Länder mit Ausbrüchen.</w:t>
      </w:r>
    </w:p>
    <w:p>
      <w:r>
        <w:rPr>
          <w:color w:val="5A7D3A"/>
          <w:sz w:val="18"/>
        </w:rPr>
        <w:t>https://pubmed.ncbi.nlm.nih.gov/42730634/</w:t>
      </w:r>
    </w:p>
    <w:p>
      <w:pPr>
        <w:pStyle w:val="Heading2"/>
      </w:pPr>
      <w:r>
        <w:t>Sierra Leone: Von Impfstoff-Verfügbarkeit zur Bevölkerungsschutzung – Deployment Readiness</w:t>
      </w:r>
    </w:p>
    <w:p>
      <w:r>
        <w:rPr>
          <w:i/>
          <w:color w:val="666666"/>
          <w:sz w:val="18"/>
        </w:rPr>
        <w:t>Ikoona EN et al.  ·  Ann Glob Health  ·  07.09.2026  ·  PMID 42730077</w:t>
      </w:r>
    </w:p>
    <w:p>
      <w:r>
        <w:t>Vergleichende Analyse von Impfkampagnen-Implementierung in Sierra Leone (COVID-19 2021, Ebola 2024, Mpox 2025) zur Identifikation kritischer Faktoren zwischen Zulassung und Vakzinierungsbeginn.</w:t>
      </w:r>
    </w:p>
    <w:p>
      <w:r>
        <w:rPr>
          <w:b/>
        </w:rPr>
        <w:t xml:space="preserve">Ergebnis: </w:t>
      </w:r>
      <w:r>
        <w:t>COVID-19: 45 Tage von EMA-Zulassung bis Impfstart; 73,2–86,7 % Deckung in Zielgruppe. Ebola: 1.851 Tage bis Impfstart trotz globales Stockpile seit 2021. Mpox: 106 Tage nach Ausbruchbestätigung, 186.053 Personen erreicht. &gt;84 % der COVID-Dosen über Surge-Kampagnen. Produktverfügbarkeit allein unzureichend; nationale Aktivierung, Finanzierung und Anbindung an globale Vorgaben entscheidend.</w:t>
      </w:r>
    </w:p>
    <w:p>
      <w:r>
        <w:rPr>
          <w:b/>
          <w:sz w:val="19"/>
        </w:rPr>
        <w:t xml:space="preserve">Übertragbarkeit: </w:t>
      </w:r>
      <w:r>
        <w:rPr>
          <w:sz w:val="19"/>
        </w:rPr>
        <w:t>Niedrig-/mitteleinkommiges Land (WHO-EMRO), Implementierungs-Framework transferierbar auf deutsche Krise-Impf-Vorbereitung.</w:t>
      </w:r>
    </w:p>
    <w:p>
      <w:r>
        <w:rPr>
          <w:color w:val="5A7D3A"/>
          <w:sz w:val="18"/>
        </w:rPr>
        <w:t>https://pubmed.ncbi.nlm.nih.gov/42730077/</w:t>
      </w:r>
    </w:p>
    <w:p>
      <w:pPr>
        <w:pStyle w:val="Heading2"/>
      </w:pPr>
      <w:r>
        <w:t>Norovirus-Impfung in England: Kostenwirksam durch Vermeidung von Nierenschäden</w:t>
      </w:r>
    </w:p>
    <w:p>
      <w:r>
        <w:rPr>
          <w:i/>
          <w:color w:val="666666"/>
          <w:sz w:val="18"/>
        </w:rPr>
        <w:t>Bolt H et al.  ·  Epidemics  ·  28.07.2026  ·  PMID 42537313</w:t>
      </w:r>
    </w:p>
    <w:p>
      <w:r>
        <w:t>Modellierung der gesundheitsökonomischen Effekte einer Norovirus-Impfung in England, die Akutnierenschäden als Spätfolge berücksichtigt.</w:t>
      </w:r>
    </w:p>
    <w:p>
      <w:r>
        <w:rPr>
          <w:b/>
        </w:rPr>
        <w:t xml:space="preserve">Ergebnis: </w:t>
      </w:r>
      <w:r>
        <w:t>Kombinierte Impfstrategie für Kinder und Ältere reduzierte symptomatische Infektionen um 64–66 %. Mit akuten Nierenschäden war eine Impfstoffeffektivität von 35 % noch kosteneffektiv (Schwellenwert: £ 20.000 pro QALY). Ohne Berücksichtigung der Nierenschäden war keine Strategie kosteneffektiv.</w:t>
      </w:r>
    </w:p>
    <w:p>
      <w:r>
        <w:rPr>
          <w:b/>
          <w:sz w:val="19"/>
        </w:rPr>
        <w:t xml:space="preserve">Übertragbarkeit: </w:t>
      </w:r>
      <w:r>
        <w:rPr>
          <w:sz w:val="19"/>
        </w:rPr>
        <w:t>Englisches Versorgungssystem, vergleichbar mit deutschen Health Economics-Evaluationen.</w:t>
      </w:r>
    </w:p>
    <w:p>
      <w:r>
        <w:rPr>
          <w:color w:val="5A7D3A"/>
          <w:sz w:val="18"/>
        </w:rPr>
        <w:t>https://pubmed.ncbi.nlm.nih.gov/42537313/</w:t>
      </w:r>
    </w:p>
    <w:p>
      <w:pPr>
        <w:pStyle w:val="Heading2"/>
      </w:pPr>
      <w:r>
        <w:t>Viruslast-Dynamik und Varianten: Was Frankreichs Routinetests über Impfschutz verraten</w:t>
      </w:r>
    </w:p>
    <w:p>
      <w:r>
        <w:rPr>
          <w:i/>
          <w:color w:val="666666"/>
          <w:sz w:val="18"/>
        </w:rPr>
        <w:t>Beaulieu M et al.  ·  PLoS Comput Biol  ·  27.07.2026  ·  PMID 42507756</w:t>
      </w:r>
    </w:p>
    <w:p>
      <w:r>
        <w:t>Analysen von 322.218 PCR-Tests aus Frankreich 2021–2022 zur Erfassung der Viraldy­namik unter verschiedenen Varianten und Impfstatus bei symptomatic infection.</w:t>
      </w:r>
    </w:p>
    <w:p>
      <w:r>
        <w:rPr>
          <w:b/>
        </w:rPr>
        <w:t xml:space="preserve">Ergebnis: </w:t>
      </w:r>
      <w:r>
        <w:t>Alter ≥ 65 Jahre: längere Clearance-Zeit um 2–6 Tage. Geimpfte Personen: 2–4 Tage kürzere Clearance. Omicron: um 2–3 Ct niedrigere Peakviruslast und um 1–2 Tage kürzere Clearance als Delta. Gemeinschafts-PCR-Testdaten ermöglichen robuste Virusdynamik-Schätzungen.</w:t>
      </w:r>
    </w:p>
    <w:p>
      <w:r>
        <w:rPr>
          <w:b/>
          <w:sz w:val="19"/>
        </w:rPr>
        <w:t xml:space="preserve">Übertragbarkeit: </w:t>
      </w:r>
      <w:r>
        <w:rPr>
          <w:sz w:val="19"/>
        </w:rPr>
        <w:t>Frankreich, ähnliche Surveillance-Infrastruktur wie Deutschland, Methode auf deutsche Testdaten übertragbar.</w:t>
      </w:r>
    </w:p>
    <w:p>
      <w:r>
        <w:rPr>
          <w:color w:val="5A7D3A"/>
          <w:sz w:val="18"/>
        </w:rPr>
        <w:t>https://pubmed.ncbi.nlm.nih.gov/42507756/</w:t>
      </w:r>
    </w:p>
    <w:p>
      <w:pPr>
        <w:pStyle w:val="Heading1"/>
      </w:pPr>
      <w:r>
        <w:t>Aufgenommen am 13.09.2026</w:t>
      </w:r>
    </w:p>
    <w:p>
      <w:pPr>
        <w:pStyle w:val="Heading2"/>
      </w:pPr>
      <w:r>
        <w:t>Impflücken in Peru: Wissen und Angst beeinflussen Impfvollständigkeit bei Kindern</w:t>
      </w:r>
    </w:p>
    <w:p>
      <w:r>
        <w:rPr>
          <w:i/>
          <w:color w:val="666666"/>
          <w:sz w:val="18"/>
        </w:rPr>
        <w:t>Castro-Fuentes MN et al.  ·  Front Public Health  ·  26.08.2026  ·  PMID 42718735</w:t>
      </w:r>
    </w:p>
    <w:p>
      <w:r>
        <w:t>Querschnittsstudie bei 123 Familien in Sunampe, Peru: Assoziationen zwischen Impflücken bei Kindern unter fünf Jahren und mütterlichen Wahrnehmungen, Wissen und Angst.</w:t>
      </w:r>
    </w:p>
    <w:p>
      <w:r>
        <w:rPr>
          <w:b/>
        </w:rPr>
        <w:t xml:space="preserve">Ergebnis: </w:t>
      </w:r>
      <w:r>
        <w:t>Impfverweigerung (≥3 verpasste Schlüsseldosen bis 6 Monate): signifikante Prädiktoren waren Mangel an Wissen über Impfalter (OR: 10,96; p &lt; 0,001) und Nichtbesuch von Impfberatungssitzungen (OR: 3,32; p = 0,026). Angst vor Nebenwirkungen (99,2 % der Mütter berichteten sie) war nicht signifikant (Hinweis auf Antwortverzerrung). Modell: AUC = 0,852. Todesfälle unter 5 Jahren (2017–2022): 10 Fälle, davon 6 pneumokokkal-assoziierten.</w:t>
      </w:r>
    </w:p>
    <w:p>
      <w:r>
        <w:rPr>
          <w:b/>
          <w:sz w:val="19"/>
        </w:rPr>
        <w:t xml:space="preserve">Übertragbarkeit: </w:t>
      </w:r>
      <w:r>
        <w:rPr>
          <w:sz w:val="19"/>
        </w:rPr>
        <w:t>Peru – Befund zu Wissenslücken und Impfpfaden in untermotivierter Bevölkerung auf Deutschland nicht direkt übertragbar, aber qualitativ relevant für Migrationsgruppen</w:t>
      </w:r>
    </w:p>
    <w:p>
      <w:r>
        <w:rPr>
          <w:color w:val="5A7D3A"/>
          <w:sz w:val="18"/>
        </w:rPr>
        <w:t>https://pubmed.ncbi.nlm.nih.gov/42718735/</w:t>
      </w:r>
    </w:p>
    <w:p>
      <w:pPr>
        <w:pStyle w:val="Heading2"/>
      </w:pPr>
      <w:r>
        <w:t>Pneumokokkencolonisierung bei Kindern in Brasilien: Begrenzte Abdeckung durch PCV10</w:t>
      </w:r>
    </w:p>
    <w:p>
      <w:r>
        <w:rPr>
          <w:i/>
          <w:color w:val="666666"/>
          <w:sz w:val="18"/>
        </w:rPr>
        <w:t>Sousa IO et al.  ·  PLoS One  ·  09.09.2026  ·  PMID 42715187</w:t>
      </w:r>
    </w:p>
    <w:p>
      <w:r>
        <w:t>Querschnittstudie bei 400 Kindern (2–5 Jahre) in Salvador, Brasilien: Nasopharyngale Besiedlung mit Streptococcus pneumoniae und Serotypverteilung nach PCV10-GSK-Impfung im brasilianischen Routineprogramm.</w:t>
      </w:r>
    </w:p>
    <w:p>
      <w:r>
        <w:rPr>
          <w:b/>
        </w:rPr>
        <w:t xml:space="preserve">Ergebnis: </w:t>
      </w:r>
      <w:r>
        <w:t>Gesamtbesiedlungsrate: 39,5 %. Häufigste Serotypen: 6C (17,9 %), 19A (13,0 %), 11A (9,3 %). PCV10-GSK deckt nur 3,2 % der Serotypen ab; PCV20 würde 39,5 % abdecken. Penicillinresistenz in 21,8 % der Isolate, am höchsten bei 19A (71,4 %). Befund zeigt Impflücke bei nicht-PCV10-Serotypen trotz Impfung.</w:t>
      </w:r>
    </w:p>
    <w:p>
      <w:r>
        <w:rPr>
          <w:b/>
          <w:sz w:val="19"/>
        </w:rPr>
        <w:t xml:space="preserve">Übertragbarkeit: </w:t>
      </w:r>
      <w:r>
        <w:rPr>
          <w:sz w:val="19"/>
        </w:rPr>
        <w:t>Brasilien – Befund zur Serotyp-Abdeckung und Resistenzentwicklung unter Feldimpfung ist grundlegend übertragbar</w:t>
      </w:r>
    </w:p>
    <w:p>
      <w:r>
        <w:rPr>
          <w:color w:val="5A7D3A"/>
          <w:sz w:val="18"/>
        </w:rPr>
        <w:t>https://pubmed.ncbi.nlm.nih.gov/42715187/</w:t>
      </w:r>
    </w:p>
    <w:p>
      <w:pPr>
        <w:pStyle w:val="Heading2"/>
      </w:pPr>
      <w:r>
        <w:t>Pneumococcale Impfung (PCV21) verhindert invasive Erkrankungen bei Erwachsenen in Spanien</w:t>
      </w:r>
    </w:p>
    <w:p>
      <w:r>
        <w:rPr>
          <w:i/>
          <w:color w:val="666666"/>
          <w:sz w:val="18"/>
        </w:rPr>
        <w:t>Simuzingili M et al.  ·  Vaccine  ·  03.10.2026  ·  PMID 42669238</w:t>
      </w:r>
    </w:p>
    <w:p>
      <w:r>
        <w:t>Gesundheitsökonomische Modellstudie in Spanien: Der 21-valente pneumokokkale Konjugatimpfstoff (PCV21) wurde mit PCV20 verglichen hinsichtlich verhinderte IPD-Fälle und vermiedene Kosten.</w:t>
      </w:r>
    </w:p>
    <w:p>
      <w:r>
        <w:rPr>
          <w:b/>
        </w:rPr>
        <w:t xml:space="preserve">Ergebnis: </w:t>
      </w:r>
      <w:r>
        <w:t>Bei 45–64-jährigen: PCV21 verhindert 178 IPD-Fälle mehr und 20 Todesfälle mehr als PCV20; spart 0,7 Mio. EUR (10% Mehrersparnis). Bei ≥65-Jährigen: 2019 IPD-Fälle und 435 Todesfälle mehr verhindert; spart 257 Mio. EUR (25% Mehrersparnis). Beide Altersgruppen: PCV21 war in allen Szenarien kostenwirksam.</w:t>
      </w:r>
    </w:p>
    <w:p>
      <w:r>
        <w:rPr>
          <w:b/>
          <w:sz w:val="19"/>
        </w:rPr>
        <w:t xml:space="preserve">Übertragbarkeit: </w:t>
      </w:r>
      <w:r>
        <w:rPr>
          <w:sz w:val="19"/>
        </w:rPr>
        <w:t>Spanien, vergleichbares Versicherungssystem und Epidemiologie wie Deutschland</w:t>
      </w:r>
    </w:p>
    <w:p>
      <w:r>
        <w:rPr>
          <w:color w:val="5A7D3A"/>
          <w:sz w:val="18"/>
        </w:rPr>
        <w:t>https://pubmed.ncbi.nlm.nih.gov/42669238/</w:t>
      </w:r>
    </w:p>
    <w:p>
      <w:pPr>
        <w:pStyle w:val="Heading2"/>
      </w:pPr>
      <w:r>
        <w:t>RSV-Impfung für Neugeborene in Japan: Saisonale vs. ganzjährige Strategie</w:t>
      </w:r>
    </w:p>
    <w:p>
      <w:r>
        <w:rPr>
          <w:i/>
          <w:color w:val="666666"/>
          <w:sz w:val="18"/>
        </w:rPr>
        <w:t>Monoi A et al.  ·  Vaccine  ·  03.10.2026  ·  PMID 42648051</w:t>
      </w:r>
    </w:p>
    <w:p>
      <w:r>
        <w:t>Modellstudie: Vergleich saisonaler und ganzjähriger RSV-Immunisierung von Neugeborenen zur Prävention von Krankenhausaufenthalten.</w:t>
      </w:r>
    </w:p>
    <w:p>
      <w:r>
        <w:rPr>
          <w:b/>
        </w:rPr>
        <w:t xml:space="preserve">Ergebnis: </w:t>
      </w:r>
      <w:r>
        <w:t>Ganzjährige RSVpreF-Impfung: 46 % Reduktion der RSV-Hospitalisierungen (95% UR: 31–65%). Ganzjährig Nirsevimab: 58 % Reduktion (95% UR: 39–79%). Saisonale Programme: bei zeitgerechter Durchführung 56–61 % Reduktion. Effekt stark abhängig von Saisonalitätsprädiktion und logistischen Kapazitäten.</w:t>
      </w:r>
    </w:p>
    <w:p>
      <w:r>
        <w:rPr>
          <w:b/>
          <w:sz w:val="19"/>
        </w:rPr>
        <w:t xml:space="preserve">Übertragbarkeit: </w:t>
      </w:r>
      <w:r>
        <w:rPr>
          <w:sz w:val="19"/>
        </w:rPr>
        <w:t>Japan, anderer Kontext – Befund zur Saisonalität und Impfstoffhaltbarkeit aber grundsätzlich übertragbar</w:t>
      </w:r>
    </w:p>
    <w:p>
      <w:r>
        <w:rPr>
          <w:color w:val="5A7D3A"/>
          <w:sz w:val="18"/>
        </w:rPr>
        <w:t>https://pubmed.ncbi.nlm.nih.gov/42648051/</w:t>
      </w:r>
    </w:p>
    <w:p>
      <w:pPr>
        <w:pStyle w:val="Heading2"/>
      </w:pPr>
      <w:r>
        <w:t>Pneumokokken-Impfung bei Erwachsenen mit Diabetes: Verzögerte Aufnahme in Versorgung</w:t>
      </w:r>
    </w:p>
    <w:p>
      <w:r>
        <w:rPr>
          <w:i/>
          <w:color w:val="666666"/>
          <w:sz w:val="18"/>
        </w:rPr>
        <w:t>Lenzi J et al.  ·  Vaccine  ·  03.10.2026  ·  PMID 42612465</w:t>
      </w:r>
    </w:p>
    <w:p>
      <w:r>
        <w:t>Populationsbasierte Kohortenstudie in Romagna (Italien) mit administrativen Daten: Zeitliche Muster und verpasste Impfgelegenheiten der Pneumokokken-Impfung bei Diabetikern über sieben Jahre.</w:t>
      </w:r>
    </w:p>
    <w:p>
      <w:r>
        <w:rPr>
          <w:b/>
        </w:rPr>
        <w:t xml:space="preserve">Ergebnis: </w:t>
      </w:r>
      <w:r>
        <w:t>Durchimpfungsquote stieg von 7,2 % (Jan. 2017) auf 28,0 % (Juni 2024), blieb aber deutlich unter 30 %. In der Inzidenzkohorte: 4,4 % Impfung nach 1 Jahr, 12,6 % nach 3 Jahren, 34,8 % nach 7 Jahren – kein markanter Anstieg unmittelbar nach Diagnose. Fremdländerisches Herkunftsland assoziiiert mit deutlich niedrigerer Aufnahme (OR: 0,52). Muster deutet auf mangelnde Integration in Diabetes-Versorgungspfade hin.</w:t>
      </w:r>
    </w:p>
    <w:p>
      <w:r>
        <w:rPr>
          <w:b/>
          <w:sz w:val="19"/>
        </w:rPr>
        <w:t xml:space="preserve">Übertragbarkeit: </w:t>
      </w:r>
      <w:r>
        <w:rPr>
          <w:sz w:val="19"/>
        </w:rPr>
        <w:t>Italien, ähnliches Versicherungssystem; Befund zu Versorgungsintegration auf Deutschland übertragbar</w:t>
      </w:r>
    </w:p>
    <w:p>
      <w:r>
        <w:rPr>
          <w:color w:val="5A7D3A"/>
          <w:sz w:val="18"/>
        </w:rPr>
        <w:t>https://pubmed.ncbi.nlm.nih.gov/42612465/</w:t>
      </w:r>
    </w:p>
    <w:p>
      <w:pPr>
        <w:pStyle w:val="Heading2"/>
      </w:pPr>
      <w:r>
        <w:t>Sicherheit der Lebendimpfstoff-Influenzaimpfung in England: Acht Jahre Pharmakovigilanz</w:t>
      </w:r>
    </w:p>
    <w:p>
      <w:r>
        <w:rPr>
          <w:i/>
          <w:color w:val="666666"/>
          <w:sz w:val="18"/>
        </w:rPr>
        <w:t>Dhanda S et al.  ·  Vaccine  ·  03.10.2026  ·  PMID 42607627</w:t>
      </w:r>
    </w:p>
    <w:p>
      <w:r>
        <w:t>Verbesserte passive Sicherheitsüberwachung (EPSS) des intranasalen Lebendimpfstoffs Fluenz® Tetra bei Kindern über acht Grippesaisons in England, mit Sicherheitsberichtskarten in 38–49 Praxen und 25–50 Schulen pro Saison.</w:t>
      </w:r>
    </w:p>
    <w:p>
      <w:r>
        <w:rPr>
          <w:b/>
        </w:rPr>
        <w:t xml:space="preserve">Ergebnis: </w:t>
      </w:r>
      <w:r>
        <w:t>8753–17.922 Sicherheitsberichtskarten ausgegeben jährlich. Rücklaufquoten: 2015/2016: 1,9 %, sinkend auf 2022/2023: 0,4 %. Rhinorrhö am häufigsten gemeldet (0,1–0,6 %). Schwerwiegende unerwünschte Ereignisse selten. Befund unterstützt positives Nutzen-Risiko-Profil über alle acht Saisons.</w:t>
      </w:r>
    </w:p>
    <w:p>
      <w:r>
        <w:rPr>
          <w:b/>
          <w:sz w:val="19"/>
        </w:rPr>
        <w:t xml:space="preserve">Übertragbarkeit: </w:t>
      </w:r>
      <w:r>
        <w:rPr>
          <w:sz w:val="19"/>
        </w:rPr>
        <w:t>Großbritannien, vergleichbare Versorgungsinfrastruktur und Pharmakovigilanz-Standards</w:t>
      </w:r>
    </w:p>
    <w:p>
      <w:r>
        <w:rPr>
          <w:color w:val="5A7D3A"/>
          <w:sz w:val="18"/>
        </w:rPr>
        <w:t>https://pubmed.ncbi.nlm.nih.gov/42607627/</w:t>
      </w:r>
    </w:p>
    <w:p>
      <w:pPr>
        <w:pStyle w:val="Heading1"/>
      </w:pPr>
      <w:r>
        <w:t>Aufgenommen am 12.09.2026</w:t>
      </w:r>
    </w:p>
    <w:p>
      <w:pPr>
        <w:pStyle w:val="Heading2"/>
      </w:pPr>
      <w:r>
        <w:t>COVID-19-Sterblichkeit nach Einkommen: Vorbefunde schlagen Impfung um Faktor 3–5</w:t>
      </w:r>
    </w:p>
    <w:p>
      <w:r>
        <w:rPr>
          <w:i/>
          <w:color w:val="666666"/>
          <w:sz w:val="18"/>
        </w:rPr>
        <w:t>Milkovska E et al.  ·  Int J Epidemiol  ·  18.08.2026  ·  PMID 42727089</w:t>
      </w:r>
    </w:p>
    <w:p>
      <w:r>
        <w:t>Analyse niederländischer Administrativdaten (n = 6.619.699) zur Frage, inwieweit unterschiedliche Vorerkrankungen und Impfquoten die Sterblichkeitsungleichheit nach Einkommen im Jahr 2021 erklären.</w:t>
      </w:r>
    </w:p>
    <w:p>
      <w:r>
        <w:rPr>
          <w:b/>
        </w:rPr>
        <w:t xml:space="preserve">Ergebnis: </w:t>
      </w:r>
      <w:r>
        <w:t>Ärmstes Einkommensfünftel starb 3-mal häufiger an COVID-19 als reichstes. Unterschiede in Vorerkrankungen erklärten 46–67 % der Ungleichheit, Unterschiede in Impfquoten nur 14–19 %. Soziale Determinanten der Gesundheit waren das Haupttreiber.</w:t>
      </w:r>
    </w:p>
    <w:p>
      <w:r>
        <w:rPr>
          <w:b/>
          <w:sz w:val="19"/>
        </w:rPr>
        <w:t xml:space="preserve">Übertragbarkeit: </w:t>
      </w:r>
      <w:r>
        <w:rPr>
          <w:sz w:val="19"/>
        </w:rPr>
        <w:t>Niederländische Administrativdaten mit vergleichbarem Versicherungssystem zu Deutschland</w:t>
      </w:r>
    </w:p>
    <w:p>
      <w:r>
        <w:rPr>
          <w:color w:val="5A7D3A"/>
          <w:sz w:val="18"/>
        </w:rPr>
        <w:t>https://pubmed.ncbi.nlm.nih.gov/42727089/</w:t>
      </w:r>
    </w:p>
    <w:p>
      <w:pPr>
        <w:pStyle w:val="Heading2"/>
      </w:pPr>
      <w:r>
        <w:t>Mütterliche RSV-Impfung reduziert Bronchiolitis-Krankenhauseinweisungen bei Säuglingen um 62 %</w:t>
      </w:r>
    </w:p>
    <w:p>
      <w:r>
        <w:rPr>
          <w:i/>
          <w:color w:val="666666"/>
          <w:sz w:val="18"/>
        </w:rPr>
        <w:t>Broad J et al.  ·  Euro Surveill  ·  Sept. 2026  ·  PMID 42725370</w:t>
      </w:r>
    </w:p>
    <w:p>
      <w:r>
        <w:t>Zeitreihenanalyse zu Auswirkungen der mütterlichen RSV-Impfung auf Hospitalisierungen von Säuglingen unter 3 Monaten in England von September 2024 bis März 2026.</w:t>
      </w:r>
    </w:p>
    <w:p>
      <w:r>
        <w:rPr>
          <w:b/>
        </w:rPr>
        <w:t xml:space="preserve">Ergebnis: </w:t>
      </w:r>
      <w:r>
        <w:t>RSV-Bronchiolitis-Krankenhauseinweisungen sanken um 62,6 % (IRR 0,374; 95%-KI: 0,344–0,407), Bronchiolitis insgesamt um 39,3 %. Bei Impfquote von 55,1 % reduzierten sich Aufnahmen auf Intensivstationen um 41,0 %. Ein bedeutender Schutzeffekt unter realen Versorgungsbedingungen.</w:t>
      </w:r>
    </w:p>
    <w:p>
      <w:r>
        <w:rPr>
          <w:b/>
          <w:sz w:val="19"/>
        </w:rPr>
        <w:t xml:space="preserve">Übertragbarkeit: </w:t>
      </w:r>
      <w:r>
        <w:rPr>
          <w:sz w:val="19"/>
        </w:rPr>
        <w:t>England mit Impfregister; Datenverfügbarkeit ähnlich wie in Skandinavien, nicht Deutschland</w:t>
      </w:r>
    </w:p>
    <w:p>
      <w:r>
        <w:rPr>
          <w:color w:val="5A7D3A"/>
          <w:sz w:val="18"/>
        </w:rPr>
        <w:t>https://pubmed.ncbi.nlm.nih.gov/42725370/</w:t>
      </w:r>
    </w:p>
    <w:p>
      <w:pPr>
        <w:pStyle w:val="Heading2"/>
      </w:pPr>
      <w:r>
        <w:t>Impfskepsis in Pakistan: Datenschutzmethoden zeigen Underreporting bei sensiblen Fragen</w:t>
      </w:r>
    </w:p>
    <w:p>
      <w:r>
        <w:rPr>
          <w:i/>
          <w:color w:val="666666"/>
          <w:sz w:val="18"/>
        </w:rPr>
        <w:t>Shahid MI et al.  ·  Front Public Health  ·  27.08.2026  ·  PMID 42723770</w:t>
      </w:r>
    </w:p>
    <w:p>
      <w:r>
        <w:t>Querschnittsstudie mit 1.200 Teilnehmern in Punjab, Pakistan (Juni–August 2021), die Underreporting von COVID-19-Fällen und Impfskepsis mit privacy-wahrenden randomisierten Antworttechniken misst.</w:t>
      </w:r>
    </w:p>
    <w:p>
      <w:r>
        <w:rPr>
          <w:b/>
        </w:rPr>
        <w:t xml:space="preserve">Ergebnis: </w:t>
      </w:r>
      <w:r>
        <w:t>Direkt berichtete COVID-19-Fälle (städtisch 10,5 %, ländlich 13,7 %) lagen unter datenschutzgeschützten Schätzungen (städtisch 15,3–17,4 %, ländlich 16,7–19,5 %). Impfskepsis-Underreporting kleiner (26,3 % vs. 27,2–27,4 %). PRE &gt;100, bessere Effizienz als Benchmark-Modelle. Privacy-Methoden reduzieren Verzerrung bei sensiblen Outcomes.</w:t>
      </w:r>
    </w:p>
    <w:p>
      <w:r>
        <w:rPr>
          <w:b/>
          <w:sz w:val="19"/>
        </w:rPr>
        <w:t xml:space="preserve">Übertragbarkeit: </w:t>
      </w:r>
      <w:r>
        <w:rPr>
          <w:sz w:val="19"/>
        </w:rPr>
        <w:t>Pakistan, Niedrig-Ressourcen-Setting; Methode zur Verbesserung der Surveillancequalität in Ländern mit schwacher Dokumentation</w:t>
      </w:r>
    </w:p>
    <w:p>
      <w:r>
        <w:rPr>
          <w:color w:val="5A7D3A"/>
          <w:sz w:val="18"/>
        </w:rPr>
        <w:t>https://pubmed.ncbi.nlm.nih.gov/42723770/</w:t>
      </w:r>
    </w:p>
    <w:p>
      <w:pPr>
        <w:pStyle w:val="Heading2"/>
      </w:pPr>
      <w:r>
        <w:t>PCV21-Pneumokokken-Impfung für Risikopatienten 18–64 Jahre in der Schweiz kosteneffektiv</w:t>
      </w:r>
    </w:p>
    <w:p>
      <w:r>
        <w:rPr>
          <w:i/>
          <w:color w:val="666666"/>
          <w:sz w:val="18"/>
        </w:rPr>
        <w:t>Simuzingili M et al.  ·  J Med Econ  ·  10.09.2026  ·  PMID 42723339</w:t>
      </w:r>
    </w:p>
    <w:p>
      <w:r>
        <w:t>Markov-Modell zur Kosten-Effektivität einer PCV21-Impfung für Hochrisiko- und Risiko-Patienten (18–64 Jahre) in der Schweiz mit lebenslanger Perspektive.</w:t>
      </w:r>
    </w:p>
    <w:p>
      <w:r>
        <w:rPr>
          <w:b/>
        </w:rPr>
        <w:t xml:space="preserve">Ergebnis: </w:t>
      </w:r>
      <w:r>
        <w:t>Bei 60-prozentiger Impfquote wurden 518 Fälle invasiver Pneumokokkenerkrankung, 224 Todesfälle und 2.578 ambulant behandelte Pneumonien verhindert. Impfkosten (CHF 39,0 Mio.) überwogen Einsparungen (CHF 21,4 Mio.) um Netto-CHF 17,6 Mio. ICER: CHF 7.665/QALY (kosteneffektiv ab CHF 18.000/QALY-Schwelle). In Sensitivitätsanalyse 100 % Wahrscheinlichkeit Kosteneffektivität.</w:t>
      </w:r>
    </w:p>
    <w:p>
      <w:r>
        <w:rPr>
          <w:b/>
          <w:sz w:val="19"/>
        </w:rPr>
        <w:t xml:space="preserve">Übertragbarkeit: </w:t>
      </w:r>
      <w:r>
        <w:rPr>
          <w:sz w:val="19"/>
        </w:rPr>
        <w:t>Schweizer Gesundheitssystem; Kosten- und Nutzenstruktur ähnlich dem deutschen</w:t>
      </w:r>
    </w:p>
    <w:p>
      <w:r>
        <w:rPr>
          <w:color w:val="5A7D3A"/>
          <w:sz w:val="18"/>
        </w:rPr>
        <w:t>https://pubmed.ncbi.nlm.nih.gov/42723339/</w:t>
      </w:r>
    </w:p>
    <w:p>
      <w:pPr>
        <w:pStyle w:val="Heading2"/>
      </w:pPr>
      <w:r>
        <w:t>RSVpreF-Impfung in Frankreich: Empfohlene Strategie verhindert 7.620 Hospitalisierungen, kostengünstig</w:t>
      </w:r>
    </w:p>
    <w:p>
      <w:r>
        <w:rPr>
          <w:i/>
          <w:color w:val="666666"/>
          <w:sz w:val="18"/>
        </w:rPr>
        <w:t>Fahfouhi Y et al.  ·  Vaccine  ·  03.10.2026  ·  PMID 42628195</w:t>
      </w:r>
    </w:p>
    <w:p>
      <w:r>
        <w:t>Markov-Modell zur Gesundheits- und Kostenfolgen von vier nationalen RSVpreF-Impfstrategien für schwangere Frauen in Frankreich unter Verwendung von Daten zu 627.499 Geburten pro Jahr.</w:t>
      </w:r>
    </w:p>
    <w:p>
      <w:r>
        <w:rPr>
          <w:b/>
        </w:rPr>
        <w:t xml:space="preserve">Ergebnis: </w:t>
      </w:r>
      <w:r>
        <w:t>Ohne Impfung: 38.625 RSV-Hospitalisierungen pro Jahr (Kosten €120,0 Mio.). Empfohlene Strategie (Sept.–Jan.) verhinderte 7.620 Hospitalisierungen (−19,7 %), Kosten €126,4 Mio., €844/Hospitalisierung verhindert, NNV 21. Erweiterte Strategie (Mai–Jan.) zusätzlich 4.111 Fälle vermieden (−13,3 % zusätzlich), erhöhte Gesamtkosten auf €134,4 Mio. (+6,3 %).</w:t>
      </w:r>
    </w:p>
    <w:p>
      <w:r>
        <w:rPr>
          <w:b/>
          <w:sz w:val="19"/>
        </w:rPr>
        <w:t xml:space="preserve">Übertragbarkeit: </w:t>
      </w:r>
      <w:r>
        <w:rPr>
          <w:sz w:val="19"/>
        </w:rPr>
        <w:t>Frankreich, europäisches Versicherungssystem; Nationale Impfkalender und Gesundheitsvergütung vergleichbar</w:t>
      </w:r>
    </w:p>
    <w:p>
      <w:r>
        <w:rPr>
          <w:color w:val="5A7D3A"/>
          <w:sz w:val="18"/>
        </w:rPr>
        <w:t>https://pubmed.ncbi.nlm.nih.gov/42628195/</w:t>
      </w:r>
    </w:p>
    <w:p>
      <w:pPr>
        <w:pStyle w:val="Heading2"/>
      </w:pPr>
      <w:r>
        <w:t>HPV-Impfquote in Europa: 55–60 % im Jahr 5, Schulprogramme und Arztdichte entscheidend</w:t>
      </w:r>
    </w:p>
    <w:p>
      <w:r>
        <w:rPr>
          <w:i/>
          <w:color w:val="666666"/>
          <w:sz w:val="18"/>
        </w:rPr>
        <w:t>Pavia G et al.  ·  Vaccine  ·  03.10.2026  ·  PMID 42623713</w:t>
      </w:r>
    </w:p>
    <w:p>
      <w:r>
        <w:t>Längsschnittstudie über Impfquoten bei 15-jährigen Mädchen in 43 europäischen Ländern 2010–2023, mit Analyse von Prädiktoren und Assoziation mit Google-Suchvolumen.</w:t>
      </w:r>
    </w:p>
    <w:p>
      <w:r>
        <w:rPr>
          <w:b/>
        </w:rPr>
        <w:t xml:space="preserve">Ergebnis: </w:t>
      </w:r>
      <w:r>
        <w:t>Impfquote stieg nach Aufnahme ins nationale Programm auf ~40 % im Jahr 2 , stabilisierte sich bei 55–60 % im Jahr 5. Über 60 % in den meisten Ländern erreicht. Schulprogramme boten schnellere Kurven. Ärztedichte und niedrige öffentliche Skepsis waren signifikante Prädiktoren. WHO-Ziel von 90 % verfehlt.</w:t>
      </w:r>
    </w:p>
    <w:p>
      <w:r>
        <w:rPr>
          <w:b/>
          <w:sz w:val="19"/>
        </w:rPr>
        <w:t xml:space="preserve">Übertragbarkeit: </w:t>
      </w:r>
      <w:r>
        <w:rPr>
          <w:sz w:val="19"/>
        </w:rPr>
        <w:t>Europäische Länder, vergleichbare Systeme; Datenqualität variiert stark (kein deutsches Impfregister)</w:t>
      </w:r>
    </w:p>
    <w:p>
      <w:r>
        <w:rPr>
          <w:color w:val="5A7D3A"/>
          <w:sz w:val="18"/>
        </w:rPr>
        <w:t>https://pubmed.ncbi.nlm.nih.gov/42623713/</w:t>
      </w:r>
    </w:p>
    <w:p>
      <w:pPr>
        <w:pStyle w:val="Heading2"/>
      </w:pPr>
      <w:r>
        <w:t>Diphtherie in der Schweiz 1877–2022: Impfprogramme brachen Epidemie-Wellen</w:t>
      </w:r>
    </w:p>
    <w:p>
      <w:r>
        <w:rPr>
          <w:i/>
          <w:color w:val="666666"/>
          <w:sz w:val="18"/>
        </w:rPr>
        <w:t>Tuor SM et al.  ·  Vaccine  ·  03.10.2026  ·  PMID 42623711</w:t>
      </w:r>
    </w:p>
    <w:p>
      <w:r>
        <w:t>Historische Zeitreihenanalyse der Diphtherie-Morbidität und -Mortalität in der Schweiz über 145 Jahre, mit Bayesianischen Modellen zur Quantifizierung des Impfeffekts ab 1933.</w:t>
      </w:r>
    </w:p>
    <w:p>
      <w:r>
        <w:rPr>
          <w:b/>
        </w:rPr>
        <w:t xml:space="preserve">Ergebnis: </w:t>
      </w:r>
      <w:r>
        <w:t>Von 35.271 Diphtherietodesfällen (1877–2022) starben 99,5 % vor flächendeckender Impfung. Nach Einführung zwingender Impfung in Genf (1933) lagen Inzidenz und Mortalität konsistent unter gemodellten Gegenszenarios. Nach landesweiter Empfehlung (1943) sank Diphtherie schnell in allen Kantonen, aber früher und stärker in Kantonen mit Impfpflicht.</w:t>
      </w:r>
    </w:p>
    <w:p>
      <w:r>
        <w:rPr>
          <w:b/>
          <w:sz w:val="19"/>
        </w:rPr>
        <w:t xml:space="preserve">Übertragbarkeit: </w:t>
      </w:r>
      <w:r>
        <w:rPr>
          <w:sz w:val="19"/>
        </w:rPr>
        <w:t>Schweizer Klinik- und Todesursachendaten; DACH-System mit Dokumentationspflicht vergleichbar</w:t>
      </w:r>
    </w:p>
    <w:p>
      <w:r>
        <w:rPr>
          <w:color w:val="5A7D3A"/>
          <w:sz w:val="18"/>
        </w:rPr>
        <w:t>https://pubmed.ncbi.nlm.nih.gov/42623711/</w:t>
      </w:r>
    </w:p>
    <w:p>
      <w:pPr>
        <w:pStyle w:val="Heading1"/>
      </w:pPr>
      <w:r>
        <w:t>Aufgenommen am 11.09.2026</w:t>
      </w:r>
    </w:p>
    <w:p>
      <w:pPr>
        <w:pStyle w:val="Heading2"/>
      </w:pPr>
      <w:r>
        <w:t>Hebammensicht auf Impfskepsis und Impfverweigerung: Faktoren und Strategien</w:t>
      </w:r>
    </w:p>
    <w:p>
      <w:r>
        <w:rPr>
          <w:i/>
          <w:color w:val="666666"/>
          <w:sz w:val="18"/>
        </w:rPr>
        <w:t>Çatalgöl Ş et al.  ·  Rev Esc Enferm USP  ·  07.09.2026  ·  PMID 42721439</w:t>
      </w:r>
    </w:p>
    <w:p>
      <w:r>
        <w:t>Deskriptive Querschnittsstudie mit 81 Hebammen in türkischen Familien-Gesundheitszentren zu Faktoren der Impfskepsis und empfohlenen Lösungsstrategien.</w:t>
      </w:r>
    </w:p>
    <w:p>
      <w:r>
        <w:rPr>
          <w:b/>
        </w:rPr>
        <w:t xml:space="preserve">Ergebnis: </w:t>
      </w:r>
      <w:r>
        <w:t>Meistgenannte Faktoren der Impfskepsis: Anti-Impf-Websites (90,1 %), Sorgen um Impfstoff-Inhaltsstoffe (70,4 %), Einfluss von Gemeinschaftsführern (66,7 %), religiöse Bedenken (65,4 %). Empfohlene Strategien: Fernsehen-Inhalte zur Impfung (70,4 %), öffentliche Ankündigungen (67,9 %), Informationen durch Gesundheitsarbeiter (58,0 %).</w:t>
      </w:r>
    </w:p>
    <w:p>
      <w:r>
        <w:rPr>
          <w:b/>
          <w:sz w:val="19"/>
        </w:rPr>
        <w:t xml:space="preserve">Übertragbarkeit: </w:t>
      </w:r>
      <w:r>
        <w:rPr>
          <w:sz w:val="19"/>
        </w:rPr>
        <w:t>Türkei, ähnliche Herausforderungen wie deutschsprachige Länder; Rolle von Hebammen in Versorgung relevant</w:t>
      </w:r>
    </w:p>
    <w:p>
      <w:r>
        <w:rPr>
          <w:color w:val="5A7D3A"/>
          <w:sz w:val="18"/>
        </w:rPr>
        <w:t>https://pubmed.ncbi.nlm.nih.gov/42721439/</w:t>
      </w:r>
    </w:p>
    <w:p>
      <w:pPr>
        <w:pStyle w:val="Heading2"/>
      </w:pPr>
      <w:r>
        <w:t>Phase-1-COVID-19-Vakzin-Studien: Flüssige Entscheidungsfindung unter wechselndem Pandemikontext</w:t>
      </w:r>
    </w:p>
    <w:p>
      <w:r>
        <w:rPr>
          <w:i/>
          <w:color w:val="666666"/>
          <w:sz w:val="18"/>
        </w:rPr>
        <w:t>Halperin DM et al.  ·  Hum Vaccin Immunother  ·  10.09.2026  ·  PMID 42721118</w:t>
      </w:r>
    </w:p>
    <w:p>
      <w:r>
        <w:t>Qualitative Studie zur Untersuchung von Faktoren, die Einschluss und Verbleib in Phase-1-COVID-19-Vakzin-Studien beeinflussen, mit semi-strukturierten Interviews bei Teilnehmern und Nicht-Teilnehmern.</w:t>
      </w:r>
    </w:p>
    <w:p>
      <w:r>
        <w:rPr>
          <w:b/>
        </w:rPr>
        <w:t xml:space="preserve">Ergebnis: </w:t>
      </w:r>
      <w:r>
        <w:t>Teilnahmeentscheidungen sind flüssig, nicht einmalig; Teilnehmer bewerteten Prioritäten kontinuierlich neu in Abhängigkeit von öffentlich zugelassenen Impfstoffen, Mandaten und COVID-19-Fallzahlen. Protokoll-Anpassung mit Erlaubnis zur PHAV-Gabe unterstützte Verbleib bis Studienende.</w:t>
      </w:r>
    </w:p>
    <w:p>
      <w:r>
        <w:rPr>
          <w:b/>
          <w:sz w:val="19"/>
        </w:rPr>
        <w:t xml:space="preserve">Übertragbarkeit: </w:t>
      </w:r>
      <w:r>
        <w:rPr>
          <w:sz w:val="19"/>
        </w:rPr>
        <w:t>Kanada, ähnliche Versorgungsstrukturen; qualitative Erkenntnisse auf Impfstoff-Vertrauen übertragbar</w:t>
      </w:r>
    </w:p>
    <w:p>
      <w:r>
        <w:rPr>
          <w:color w:val="5A7D3A"/>
          <w:sz w:val="18"/>
        </w:rPr>
        <w:t>https://pubmed.ncbi.nlm.nih.gov/42721118/</w:t>
      </w:r>
    </w:p>
    <w:p>
      <w:pPr>
        <w:pStyle w:val="Heading2"/>
      </w:pPr>
      <w:r>
        <w:t>Erweiterte HPV-Impfung in Polen: Gesundheitsgewinne und Kosteneffizienz</w:t>
      </w:r>
    </w:p>
    <w:p>
      <w:r>
        <w:rPr>
          <w:i/>
          <w:color w:val="666666"/>
          <w:sz w:val="18"/>
        </w:rPr>
        <w:t>Jaworski R et al.  ·  J Med Econ  ·  09.09.2026  ·  PMID 42717549</w:t>
      </w:r>
    </w:p>
    <w:p>
      <w:r>
        <w:t>Kosten-Nutzen-Analyse zur Erweiterung der HPV-Impfung auf Jungen und Mädchen im Alter 9–17 Jahren in Polen.</w:t>
      </w:r>
    </w:p>
    <w:p>
      <w:r>
        <w:rPr>
          <w:b/>
        </w:rPr>
        <w:t xml:space="preserve">Ergebnis: </w:t>
      </w:r>
      <w:r>
        <w:t>Erhöhung der Impfquoten von 20 % auf 60 % reduziert HPV-assoziierte Erkrankungen um 16 % und Todesfälle um 13 %; bei 90 % Abdeckung Reduktion um 33 % bzw. 27 %. Jeder investierte EUR 1,00 erbringt EUR 4,2 (Gesellschaft) bzw. EUR 2,2 (Fiskus) bei 60 % Abdeckung; EUR 4,6 bzw. EUR 2,4 bei 90 %.</w:t>
      </w:r>
    </w:p>
    <w:p>
      <w:r>
        <w:rPr>
          <w:b/>
          <w:sz w:val="19"/>
        </w:rPr>
        <w:t xml:space="preserve">Übertragbarkeit: </w:t>
      </w:r>
      <w:r>
        <w:rPr>
          <w:sz w:val="19"/>
        </w:rPr>
        <w:t>Polen, europäisches Sozialversicherungssystem, Impfkalender-Modellierung</w:t>
      </w:r>
    </w:p>
    <w:p>
      <w:r>
        <w:rPr>
          <w:color w:val="5A7D3A"/>
          <w:sz w:val="18"/>
        </w:rPr>
        <w:t>https://pubmed.ncbi.nlm.nih.gov/42717549/</w:t>
      </w:r>
    </w:p>
    <w:p>
      <w:pPr>
        <w:pStyle w:val="Heading2"/>
      </w:pPr>
      <w:r>
        <w:t>EV-A71-Impfung in Shanghai: 89,9 % Effektivität, Verschiebung zu Nicht-EV-A71-Serotypen</w:t>
      </w:r>
    </w:p>
    <w:p>
      <w:r>
        <w:rPr>
          <w:i/>
          <w:color w:val="666666"/>
          <w:sz w:val="18"/>
        </w:rPr>
        <w:t>Xu Z et al.  ·  Hum Vaccin Immunother  ·  09.09.2026  ·  PMID 42714139</w:t>
      </w:r>
    </w:p>
    <w:p>
      <w:r>
        <w:t>Test-Negative-Design-Studie zur Wirksamkeit der EV-A71-Impfung gegen Hand-Fuß-Mund-Krankheit in Shanghai 2009–2023, mit Vergleich prä- und post-Impfprogramm-Epidemiologie.</w:t>
      </w:r>
    </w:p>
    <w:p>
      <w:r>
        <w:rPr>
          <w:b/>
        </w:rPr>
        <w:t xml:space="preserve">Ergebnis: </w:t>
      </w:r>
      <w:r>
        <w:t>Gesamtwirksamkeit gegen EV-A71-assoziierte HFMD und Herpangina: 89,9 % (95%-KI: 74,5–96,0) für Zwei-Dosen-Serie, 67,9 % (95%-KI: 2,6–89,6) für Einzeldosis. Nach Impfprogramm-Einführung: Inzidenz-Reduktion 56,7 %, Schweregradreduktion 95,2 %, null Todesfälle (von 3 auf 0).</w:t>
      </w:r>
    </w:p>
    <w:p>
      <w:r>
        <w:rPr>
          <w:b/>
          <w:sz w:val="19"/>
        </w:rPr>
        <w:t xml:space="preserve">Übertragbarkeit: </w:t>
      </w:r>
      <w:r>
        <w:rPr>
          <w:sz w:val="19"/>
        </w:rPr>
        <w:t>China-Daten, aber Versorgungseffektivität in realer Welt gut dokumentiert; Serotyp-Shift hat globale Relevanz</w:t>
      </w:r>
    </w:p>
    <w:p>
      <w:r>
        <w:rPr>
          <w:color w:val="5A7D3A"/>
          <w:sz w:val="18"/>
        </w:rPr>
        <w:t>https://pubmed.ncbi.nlm.nih.gov/42714139/</w:t>
      </w:r>
    </w:p>
    <w:p>
      <w:pPr>
        <w:pStyle w:val="Heading2"/>
      </w:pPr>
      <w:r>
        <w:t>mRNA-Impfung verursacht reproduzierbare Transkript-Isoform-Verschiebungen</w:t>
      </w:r>
    </w:p>
    <w:p>
      <w:r>
        <w:rPr>
          <w:i/>
          <w:color w:val="666666"/>
          <w:sz w:val="18"/>
        </w:rPr>
        <w:t>Riemann L et al.  ·  Eur J Immunol  ·  Sept. 2026  ·  PMID 42670157</w:t>
      </w:r>
    </w:p>
    <w:p>
      <w:r>
        <w:t>Analyse longitudinaler RNA-Sequenzierungs-Daten zur Charakterisierung von Veränderungen in der Transkript-Isoform-Nutzung nach mRNA-Impfung.</w:t>
      </w:r>
    </w:p>
    <w:p>
      <w:r>
        <w:rPr>
          <w:b/>
        </w:rPr>
        <w:t xml:space="preserve">Ergebnis: </w:t>
      </w:r>
      <w:r>
        <w:t>mRNA-Impfung induziert schnelle und transiente Welle differentieller Transkript-Nutzung, die 24 h post-Impfung mit 131 veränderten Isoformen über 107 Gene gipfelt, vor Auflösung bis Tag 14. Muster reproduzierbar über mehrere Impfstoff-Kohorten (MVA-basiert, Influenza, Ebola).</w:t>
      </w:r>
    </w:p>
    <w:p>
      <w:r>
        <w:rPr>
          <w:b/>
          <w:sz w:val="19"/>
        </w:rPr>
        <w:t xml:space="preserve">Übertragbarkeit: </w:t>
      </w:r>
      <w:r>
        <w:rPr>
          <w:sz w:val="19"/>
        </w:rPr>
        <w:t>Grundlagenforschung ohne klinischen Endpunkt, nicht geeignet für Versorgungsanalyse</w:t>
      </w:r>
    </w:p>
    <w:p>
      <w:r>
        <w:rPr>
          <w:color w:val="5A7D3A"/>
          <w:sz w:val="18"/>
        </w:rPr>
        <w:t>https://pubmed.ncbi.nlm.nih.gov/42670157/</w:t>
      </w:r>
    </w:p>
    <w:p>
      <w:pPr>
        <w:pStyle w:val="Heading2"/>
      </w:pPr>
      <w:r>
        <w:t>Influenza- und Herpes-Zoster-Impfeffektivität bei Autoimmunerkrankungen: keine Unterschiede zu Gesunden</w:t>
      </w:r>
    </w:p>
    <w:p>
      <w:r>
        <w:rPr>
          <w:i/>
          <w:color w:val="666666"/>
          <w:sz w:val="18"/>
        </w:rPr>
        <w:t>Denz R et al.  ·  J Infect Public Health  ·  02.07.2026  ·  PMID 42398453</w:t>
      </w:r>
    </w:p>
    <w:p>
      <w:r>
        <w:t>Emulierte Zielstudien mit Anspruchsdaten einer großen deutschen Krankenkasse zur Vergleichbarkeit der Impfwirksamkeit zwischen Personen mit und ohne Autoimmunerkrankungen (MS, IBD, CIRD).</w:t>
      </w:r>
    </w:p>
    <w:p>
      <w:r>
        <w:rPr>
          <w:b/>
        </w:rPr>
        <w:t xml:space="preserve">Ergebnis: </w:t>
      </w:r>
      <w:r>
        <w:t>Herpes-Zoster-Wirksamkeit: 68,73 % (95%-KI: 55,75–77,91) bei AID, 60,30 % (55,59–64,52) ohne AID; Wirksamkeitsverhältnis 1,14 (0,93–1,30). Influenza-Wirksamkeit ohne relevante Unterschiede über vier Saisonen; alle Wirksamkeitsverhältnisse nahe 1.</w:t>
      </w:r>
    </w:p>
    <w:p>
      <w:r>
        <w:rPr>
          <w:b/>
          <w:sz w:val="19"/>
        </w:rPr>
        <w:t xml:space="preserve">Übertragbarkeit: </w:t>
      </w:r>
      <w:r>
        <w:rPr>
          <w:sz w:val="19"/>
        </w:rPr>
        <w:t>Deutsche Anspruchsdaten, vergleichbar mit Routine-Versorgung; MS, IBD, CIRD-Patienten relevant für Versorgung</w:t>
      </w:r>
    </w:p>
    <w:p>
      <w:r>
        <w:rPr>
          <w:color w:val="5A7D3A"/>
          <w:sz w:val="18"/>
        </w:rPr>
        <w:t>https://pubmed.ncbi.nlm.nih.gov/42398453/</w:t>
      </w:r>
    </w:p>
    <w:p>
      <w:pPr>
        <w:pStyle w:val="Heading1"/>
      </w:pPr>
      <w:r>
        <w:t>Aufgenommen am 10.09.2026</w:t>
      </w:r>
    </w:p>
    <w:p>
      <w:pPr>
        <w:pStyle w:val="Heading2"/>
      </w:pPr>
      <w:r>
        <w:t>RSV-Impfskepsis bei chinesischen Eltern: Informationssuche dominiert, nicht Vertrauen</w:t>
      </w:r>
    </w:p>
    <w:p>
      <w:r>
        <w:rPr>
          <w:i/>
          <w:color w:val="666666"/>
          <w:sz w:val="18"/>
        </w:rPr>
        <w:t>Zhu Y et al.  ·  Hum Vaccin Immunother  ·  31.12.2026  ·  PMID 42714313</w:t>
      </w:r>
    </w:p>
    <w:p>
      <w:r>
        <w:t>Querschnittstudie mit 4.422 Paaren (Schwangere und Partner) in acht chinesischen Provinzen zur Analyse psychologischer Vorstufen der Vaccine Hesitancy gegenüber RSV-Impfstoffen und RSV-Antikörpern.</w:t>
      </w:r>
    </w:p>
    <w:p>
      <w:r>
        <w:rPr>
          <w:b/>
        </w:rPr>
        <w:t xml:space="preserve">Ergebnis: </w:t>
      </w:r>
      <w:r>
        <w:t>Frauen zeigten marginal niedrigere 5C-Werte als Partner für mütterliche Impfung (45,88 vs. 46,25; Cohen's d = −0,06). Älteres Alter, ländlicher Wohnort und niedriges Einkommen waren unabhängig mit höherer Hesitancy assoziiert. 'Calculation' (aktive Informationssuche) scorte bei beiden Gruppen am höchsten.</w:t>
      </w:r>
    </w:p>
    <w:p>
      <w:r>
        <w:rPr>
          <w:b/>
          <w:sz w:val="19"/>
        </w:rPr>
        <w:t xml:space="preserve">Übertragbarkeit: </w:t>
      </w:r>
      <w:r>
        <w:rPr>
          <w:sz w:val="19"/>
        </w:rPr>
        <w:t>China-Studie; Psychologische Grundmuster der Vaccine Hesitancy international relevant.</w:t>
      </w:r>
    </w:p>
    <w:p>
      <w:r>
        <w:rPr>
          <w:color w:val="5A7D3A"/>
          <w:sz w:val="18"/>
        </w:rPr>
        <w:t>https://pubmed.ncbi.nlm.nih.gov/42714313/</w:t>
      </w:r>
    </w:p>
    <w:p>
      <w:pPr>
        <w:pStyle w:val="Heading2"/>
      </w:pPr>
      <w:r>
        <w:t>Gesundheitskommunikation gegen Impfskepsis bei Kinderimpfungen in Nigeria – Systematische Übersicht</w:t>
      </w:r>
    </w:p>
    <w:p>
      <w:r>
        <w:rPr>
          <w:i/>
          <w:color w:val="666666"/>
          <w:sz w:val="18"/>
        </w:rPr>
        <w:t>Ike TJ et al.  ·  Front Public Health  ·  25.08.2026  ·  PMID 42713528</w:t>
      </w:r>
    </w:p>
    <w:p>
      <w:r>
        <w:t>Systematische Übersicht mit thematischer Synthese von 12 Studien (2017–2026) zu Kommunikationsstrategien gegen elterliche Vaccine Hesitancy bei Kinderimpfungen in Nigeria.</w:t>
      </w:r>
    </w:p>
    <w:p>
      <w:r>
        <w:rPr>
          <w:b/>
        </w:rPr>
        <w:t xml:space="preserve">Ergebnis: </w:t>
      </w:r>
      <w:r>
        <w:t>Vier Strategietypen identifiziert: Medienkampagnen, staatlich gesponserte Kommunikation, Gemeinde-zentrierte Ansätze und telefonische Interventionen. Kulturelle Anpassung, Einbindung vertrauter Führungspersonen (religiöse/traditionelle Leader), Multi-Kanal-Ansatz und Responsivität auf strukturelle Barrieren und Informationsbedarf waren erfolgskritisch.</w:t>
      </w:r>
    </w:p>
    <w:p>
      <w:r>
        <w:rPr>
          <w:b/>
          <w:sz w:val="19"/>
        </w:rPr>
        <w:t xml:space="preserve">Übertragbarkeit: </w:t>
      </w:r>
      <w:r>
        <w:rPr>
          <w:sz w:val="19"/>
        </w:rPr>
        <w:t>Nigeria, niedriges Einkommen; Kommunikationsprinzipien zu Vaccine Hesitancy aber universal relevant.</w:t>
      </w:r>
    </w:p>
    <w:p>
      <w:r>
        <w:rPr>
          <w:color w:val="5A7D3A"/>
          <w:sz w:val="18"/>
        </w:rPr>
        <w:t>https://pubmed.ncbi.nlm.nih.gov/42713528/</w:t>
      </w:r>
    </w:p>
    <w:p>
      <w:pPr>
        <w:pStyle w:val="Heading2"/>
      </w:pPr>
      <w:r>
        <w:t>HPV-Impfquote 70% in Shenzhen: Psychologische Modelle verlieren Erklärungskraft, Kosten bleiben Barriere</w:t>
      </w:r>
    </w:p>
    <w:p>
      <w:r>
        <w:rPr>
          <w:i/>
          <w:color w:val="666666"/>
          <w:sz w:val="18"/>
        </w:rPr>
        <w:t>Liu Y et al.  ·  Front Public Health  ·  25.08.2026  ·  PMID 42712616</w:t>
      </w:r>
    </w:p>
    <w:p>
      <w:r>
        <w:t>Querschnittstudie mit 1.257 Frauen in Shenzhen zur Diskriminanzvalidität von Health Belief Model und 3C-Modell bei Restimpfverweigerung nach bereits 70% HPV-Impfquote.</w:t>
      </w:r>
    </w:p>
    <w:p>
      <w:r>
        <w:rPr>
          <w:b/>
        </w:rPr>
        <w:t xml:space="preserve">Ergebnis: </w:t>
      </w:r>
      <w:r>
        <w:t>Bei 70% Durchimpfung zeigten HBM und 3C-Skalen begrenzte Diskriminanzvalidität zwischen Geimpften und Ungeimpften (nur 2 von 10 Konstrukten signifikant, triviale Effektgrößen d=0,13). Hauptgründe für Nicht-Impfung: hohe Kosten (42,3%) und Sicherheitsbedenken (33,8%). Hukou moderierte wahrgenommene Barrieren suggestiv (nicht signifikant).</w:t>
      </w:r>
    </w:p>
    <w:p>
      <w:r>
        <w:rPr>
          <w:b/>
          <w:sz w:val="19"/>
        </w:rPr>
        <w:t xml:space="preserve">Übertragbarkeit: </w:t>
      </w:r>
      <w:r>
        <w:rPr>
          <w:sz w:val="19"/>
        </w:rPr>
        <w:t>China, hochquoten-Setting; zeigt, dass psychologische Standardmodelle bei Hochquoten an Grenzen stoßen.</w:t>
      </w:r>
    </w:p>
    <w:p>
      <w:r>
        <w:rPr>
          <w:color w:val="5A7D3A"/>
          <w:sz w:val="18"/>
        </w:rPr>
        <w:t>https://pubmed.ncbi.nlm.nih.gov/42712616/</w:t>
      </w:r>
    </w:p>
    <w:p>
      <w:pPr>
        <w:pStyle w:val="Heading2"/>
      </w:pPr>
      <w:r>
        <w:t>COVID-19-Impfung in Irland: Barrieren und Förderfaktoren im Implementierungsprozess</w:t>
      </w:r>
    </w:p>
    <w:p>
      <w:r>
        <w:rPr>
          <w:i/>
          <w:color w:val="666666"/>
          <w:sz w:val="18"/>
        </w:rPr>
        <w:t>Kandulu CC et al.  ·  Vaccine  ·  30.08.2026  ·  PMID 42407300</w:t>
      </w:r>
    </w:p>
    <w:p>
      <w:r>
        <w:t>Qualitative Studie mit 16 Stakeholdern zur Identifikation von Faktoren, die die Umsetzung des COVID-19-Impfprogramms in Irland auf nationaler, regionaler und lokaler Ebene beeinflussten.</w:t>
      </w:r>
    </w:p>
    <w:p>
      <w:r>
        <w:rPr>
          <w:b/>
        </w:rPr>
        <w:t xml:space="preserve">Ergebnis: </w:t>
      </w:r>
      <w:r>
        <w:t>Verzögerte oder sich ändernde Evidenz, Komplexität der Impfstoffe und Anpassung der Bereitstellungskonzepte (Skalierung auf Massenimpfzentren) waren kritische Faktoren. Ressourcenverfügbarkeit, organisatorische Infrastruktur, Policy-Rahmen, Kommunikation und Fachkompetenz waren entscheidend für die Umsetzung.</w:t>
      </w:r>
    </w:p>
    <w:p>
      <w:r>
        <w:rPr>
          <w:b/>
          <w:sz w:val="19"/>
        </w:rPr>
        <w:t xml:space="preserve">Übertragbarkeit: </w:t>
      </w:r>
      <w:r>
        <w:rPr>
          <w:sz w:val="19"/>
        </w:rPr>
        <w:t>Irland, vergleichbares europäisches Gesundheitssystem mit dezentraler Struktur.</w:t>
      </w:r>
    </w:p>
    <w:p>
      <w:r>
        <w:rPr>
          <w:color w:val="5A7D3A"/>
          <w:sz w:val="18"/>
        </w:rPr>
        <w:t>https://pubmed.ncbi.nlm.nih.gov/42407300/</w:t>
      </w:r>
    </w:p>
    <w:p>
      <w:pPr>
        <w:pStyle w:val="Heading2"/>
      </w:pPr>
      <w:r>
        <w:t>SARS-CoV-2-Auffrischimpfungen schützen Menschen mit Autoimmunerkrankungen vor schwerer COVID-19</w:t>
      </w:r>
    </w:p>
    <w:p>
      <w:r>
        <w:rPr>
          <w:i/>
          <w:color w:val="666666"/>
          <w:sz w:val="18"/>
        </w:rPr>
        <w:t>Kukreja NS et al.  ·  RMD Open  ·  03.07.2026  ·  PMID 42399080</w:t>
      </w:r>
    </w:p>
    <w:p>
      <w:r>
        <w:t>Nested Case-Control-Studie mit englischen Primärversorgungs- und Krankenhausdaten zu Schutzwirkung von COVID-19-Auffrischimpfungen bei erwachsenen Patienten mit immunmediierter Entzündungserkrankung (IMID).</w:t>
      </w:r>
    </w:p>
    <w:p>
      <w:r>
        <w:rPr>
          <w:b/>
        </w:rPr>
        <w:t xml:space="preserve">Ergebnis: </w:t>
      </w:r>
      <w:r>
        <w:t>Drei Auffrischimpfungen reduzierten Hospitalisierung/Tod um 80% (aOR 0,20; 95%-KI 0,15–0,28), zwei Dosen um 71% (aOR 0,29; 95%-KI 0,23–0,36), eine Dosis um 44% (aOR 0,56; 95%-KI 0,48–0,65). Schutz bestand innerhalb 365 Tage nach Impfung; Impfungen &gt;365 Tage alt zeigten keinen signifikanten Schutz.</w:t>
      </w:r>
    </w:p>
    <w:p>
      <w:r>
        <w:rPr>
          <w:b/>
          <w:sz w:val="19"/>
        </w:rPr>
        <w:t xml:space="preserve">Übertragbarkeit: </w:t>
      </w:r>
      <w:r>
        <w:rPr>
          <w:sz w:val="19"/>
        </w:rPr>
        <w:t>Englische primärärztliche Flächendaten mit Impfquoten und Krankenhausdokumentation, auf deutsches System übertragbar.</w:t>
      </w:r>
    </w:p>
    <w:p>
      <w:r>
        <w:rPr>
          <w:color w:val="5A7D3A"/>
          <w:sz w:val="18"/>
        </w:rPr>
        <w:t>https://pubmed.ncbi.nlm.nih.gov/42399080/</w:t>
      </w:r>
    </w:p>
    <w:p>
      <w:pPr>
        <w:pStyle w:val="Heading1"/>
      </w:pPr>
      <w:r>
        <w:t>Aufgenommen am 09.09.2026</w:t>
      </w:r>
    </w:p>
    <w:p>
      <w:pPr>
        <w:pStyle w:val="Heading2"/>
      </w:pPr>
      <w:r>
        <w:t>Eltern akzeptieren Meningokokken-B-Impfung für Säuglinge unter fachlicher Empfehlung</w:t>
      </w:r>
    </w:p>
    <w:p>
      <w:r>
        <w:rPr>
          <w:i/>
          <w:color w:val="666666"/>
          <w:sz w:val="18"/>
        </w:rPr>
        <w:t>Herrera-Restrepo O et al.  ·  Hum Vaccin Immunother  ·  08.09.2026  ·  PMID 42709765</w:t>
      </w:r>
    </w:p>
    <w:p>
      <w:r>
        <w:t>US-Online-Befragung von 1.051 Eltern mit Kindern ≤18 Monaten zu Impfbereitschaft gegen Meningokokken B.</w:t>
      </w:r>
    </w:p>
    <w:p>
      <w:r>
        <w:rPr>
          <w:b/>
        </w:rPr>
        <w:t xml:space="preserve">Ergebnis: </w:t>
      </w:r>
      <w:r>
        <w:t>73,4% Kinder vollständig geimpft. Von 266 mit unvollständiger Impfung: 59,8% besorgt um Nebenwirkungen. Ohne Fachempfehlung: 66,3% würden MenB-Impfung akzeptieren, mit Krankheitsinformation: 72,1%. Fachperson-Kommunikation war Schlüsselfaktor.</w:t>
      </w:r>
    </w:p>
    <w:p>
      <w:r>
        <w:rPr>
          <w:b/>
          <w:sz w:val="19"/>
        </w:rPr>
        <w:t xml:space="preserve">Übertragbarkeit: </w:t>
      </w:r>
      <w:r>
        <w:rPr>
          <w:sz w:val="19"/>
        </w:rPr>
        <w:t>USA-System, aber Bedeutung der Fachperson-Kommunikation universal anwendbar, nicht auf Registerdaten übertragbar.</w:t>
      </w:r>
    </w:p>
    <w:p>
      <w:r>
        <w:rPr>
          <w:color w:val="5A7D3A"/>
          <w:sz w:val="18"/>
        </w:rPr>
        <w:t>https://pubmed.ncbi.nlm.nih.gov/42709765/</w:t>
      </w:r>
    </w:p>
    <w:p>
      <w:pPr>
        <w:pStyle w:val="Heading2"/>
      </w:pPr>
      <w:r>
        <w:t>Pneumokokken-Impfung ab 50 Jahren hätte 520.000 Erkrankungsfälle verhindern können</w:t>
      </w:r>
    </w:p>
    <w:p>
      <w:r>
        <w:rPr>
          <w:i/>
          <w:color w:val="666666"/>
          <w:sz w:val="18"/>
        </w:rPr>
        <w:t>Sharomi O et al.  ·  Hum Vaccin Immunother  ·  08.09.2026  ·  PMID 42708971</w:t>
      </w:r>
    </w:p>
    <w:p>
      <w:r>
        <w:t>Modellrechnung zu epidemiologischen Effekten einer Senkung der Impfaltersgrenze für Erwachsene von 60 auf 50 Jahre in Deutschland mit V116 oder PCV20.</w:t>
      </w:r>
    </w:p>
    <w:p>
      <w:r>
        <w:rPr>
          <w:b/>
        </w:rPr>
        <w:t xml:space="preserve">Ergebnis: </w:t>
      </w:r>
      <w:r>
        <w:t>Bei Impfquote von 30%: V116 ab 50 Jahren führte zu 520.128 weniger Pneumokokkus-Erkrankungsfällen, PCV20 zu 325.694 weniger. IPD-Inzidenz im Jahr 10 mit V116 ab 50 Jahren: 20,5 pro 100.000 (vs. 22,1 ab 60 Jahren).</w:t>
      </w:r>
    </w:p>
    <w:p>
      <w:r>
        <w:rPr>
          <w:b/>
          <w:sz w:val="19"/>
        </w:rPr>
        <w:t xml:space="preserve">Übertragbarkeit: </w:t>
      </w:r>
      <w:r>
        <w:rPr>
          <w:sz w:val="19"/>
        </w:rPr>
        <w:t>Deutschland, Modellierung mit deutschen Serotyphaten und Epidemiologie, aber keine empirische Versorgungsdatenbasis.</w:t>
      </w:r>
    </w:p>
    <w:p>
      <w:r>
        <w:rPr>
          <w:color w:val="5A7D3A"/>
          <w:sz w:val="18"/>
        </w:rPr>
        <w:t>https://pubmed.ncbi.nlm.nih.gov/42708971/</w:t>
      </w:r>
    </w:p>
    <w:p>
      <w:pPr>
        <w:pStyle w:val="Heading2"/>
      </w:pPr>
      <w:r>
        <w:t>Mütter wählen Impfungen nach Sicherheit – Information und Vertrauen entscheidend</w:t>
      </w:r>
    </w:p>
    <w:p>
      <w:r>
        <w:rPr>
          <w:i/>
          <w:color w:val="666666"/>
          <w:sz w:val="18"/>
        </w:rPr>
        <w:t>Xing R et al.  ·  Front Public Health  ·  24.08.2026  ·  PMID 42707176</w:t>
      </w:r>
    </w:p>
    <w:p>
      <w:r>
        <w:t>Qualitative Studie mit 16 Müttern in China zu Entscheidungsfaktoren bei selbstgezahlten Kinderimpfungen.</w:t>
      </w:r>
    </w:p>
    <w:p>
      <w:r>
        <w:rPr>
          <w:b/>
        </w:rPr>
        <w:t xml:space="preserve">Ergebnis: </w:t>
      </w:r>
      <w:r>
        <w:t>Sicherheit war Voraussetzung vor Nutzenabwägung. Mütter navigierten asymmetrische Informationen, balancierten Vertrauen in Fachpersonen mit unabhängiger Verifikation. Kosten wirkten als Filter oder Priorisierungsmechanismus. Kommunikationsqualität mit Anbieter:innen prägte Vertrauensaufbau; unzureichende Beratung erhöhte Unsicherheit.</w:t>
      </w:r>
    </w:p>
    <w:p>
      <w:r>
        <w:rPr>
          <w:b/>
          <w:sz w:val="19"/>
        </w:rPr>
        <w:t xml:space="preserve">Übertragbarkeit: </w:t>
      </w:r>
      <w:r>
        <w:rPr>
          <w:sz w:val="19"/>
        </w:rPr>
        <w:t>China, aber Entscheidungsprozesse universal; Qualitätskriterien für Beratung auf deutsches System übertragbar.</w:t>
      </w:r>
    </w:p>
    <w:p>
      <w:r>
        <w:rPr>
          <w:color w:val="5A7D3A"/>
          <w:sz w:val="18"/>
        </w:rPr>
        <w:t>https://pubmed.ncbi.nlm.nih.gov/42707176/</w:t>
      </w:r>
    </w:p>
    <w:p>
      <w:pPr>
        <w:pStyle w:val="Heading2"/>
      </w:pPr>
      <w:r>
        <w:t>Impfkampagne in Onkologie erhöht Impfquoten deutlich</w:t>
      </w:r>
    </w:p>
    <w:p>
      <w:r>
        <w:rPr>
          <w:i/>
          <w:color w:val="666666"/>
          <w:sz w:val="18"/>
        </w:rPr>
        <w:t>Markus T et al.  ·  BMC Public Health  ·  07.09.2026  ·  PMID 42706520</w:t>
      </w:r>
    </w:p>
    <w:p>
      <w:r>
        <w:t>Kölner Universitätsklinik testete eine Interventionsstudie mit Patientenaufklärung, Personalschulung und vor-Ort-Impfung über 1,5 Jahre.</w:t>
      </w:r>
    </w:p>
    <w:p>
      <w:r>
        <w:rPr>
          <w:b/>
        </w:rPr>
        <w:t xml:space="preserve">Ergebnis: </w:t>
      </w:r>
      <w:r>
        <w:t>Gesamtimpfquote stieg von 43% auf 49%, Influenza von 37% auf 48%, Pneumokokken von 16% auf 36%, Herpes zoster von 22% auf 33%. Anteil vollständig geimpfter Patienten: 6% auf 16%.</w:t>
      </w:r>
    </w:p>
    <w:p>
      <w:r>
        <w:rPr>
          <w:b/>
          <w:sz w:val="19"/>
        </w:rPr>
        <w:t xml:space="preserve">Übertragbarkeit: </w:t>
      </w:r>
      <w:r>
        <w:rPr>
          <w:sz w:val="19"/>
        </w:rPr>
        <w:t>Deutschland, Universitätsklinik mit vergleichbarem Dokumentationssystem, Patient:innen mit Malignomen.</w:t>
      </w:r>
    </w:p>
    <w:p>
      <w:r>
        <w:rPr>
          <w:color w:val="5A7D3A"/>
          <w:sz w:val="18"/>
        </w:rPr>
        <w:t>https://pubmed.ncbi.nlm.nih.gov/42706520/</w:t>
      </w:r>
    </w:p>
    <w:p>
      <w:pPr>
        <w:pStyle w:val="Heading2"/>
      </w:pPr>
      <w:r>
        <w:t>COVID-19-Impfstoffsicherheit: Präklinische und klinische Pharmakovigilanz verglichen</w:t>
      </w:r>
    </w:p>
    <w:p>
      <w:r>
        <w:rPr>
          <w:i/>
          <w:color w:val="666666"/>
          <w:sz w:val="18"/>
        </w:rPr>
        <w:t>Gonin C et al.  ·  Regul Toxicol Pharmacol  ·  11.07.2026  ·  PMID 42435835</w:t>
      </w:r>
    </w:p>
    <w:p>
      <w:r>
        <w:t>Französische Behörde (ANSM) verglich Sicherheitsdaten aus Laborstudien und Arzneimittelüberwachung für fünf COVID-19-Impfstoffe auf Reaktogenität, Myokarditis und Thrombose.</w:t>
      </w:r>
    </w:p>
    <w:p>
      <w:r>
        <w:rPr>
          <w:b/>
        </w:rPr>
        <w:t xml:space="preserve">Ergebnis: </w:t>
      </w:r>
      <w:r>
        <w:t>Virale Vektorimpfstoffe zeigten höhere Reaktogenität. Myokarditis und Thrombose-Thrombozytopenie wurden nicht in präklinischen Studien vorhergesagt. Biomarker wie Troponin waren klinisch aussagekräftig; keine Korrelation zwischen präklinischen Parametern und klinischen Ergebnissen.</w:t>
      </w:r>
    </w:p>
    <w:p>
      <w:r>
        <w:rPr>
          <w:b/>
          <w:sz w:val="19"/>
        </w:rPr>
        <w:t xml:space="preserve">Übertragbarkeit: </w:t>
      </w:r>
      <w:r>
        <w:rPr>
          <w:sz w:val="19"/>
        </w:rPr>
        <w:t>Frankreich, nationale Pharmakovigilanz mit europäischem Zulassungskontext, auf Deutschland übertragbar.</w:t>
      </w:r>
    </w:p>
    <w:p>
      <w:r>
        <w:rPr>
          <w:color w:val="5A7D3A"/>
          <w:sz w:val="18"/>
        </w:rPr>
        <w:t>https://pubmed.ncbi.nlm.nih.gov/42435835/</w:t>
      </w:r>
    </w:p>
    <w:p>
      <w:pPr>
        <w:pStyle w:val="Heading2"/>
      </w:pPr>
      <w:r>
        <w:t>COVID-19- und Influenza-Impfung sequenziell in Dialyse-Patienten: Immunogenität stabil</w:t>
      </w:r>
    </w:p>
    <w:p>
      <w:r>
        <w:rPr>
          <w:i/>
          <w:color w:val="666666"/>
          <w:sz w:val="18"/>
        </w:rPr>
        <w:t>Bronder S et al.  ·  Sci Rep  ·  06.07.2026  ·  PMID 42410167</w:t>
      </w:r>
    </w:p>
    <w:p>
      <w:r>
        <w:t>Beobachtungsstudie mit 113 dialysepflichtigen Patienten zu sequenzieller Gabe von XBB.1.5-COVID-19-Impfung und Influenza-Impfung im Abstand von 14 Tagen.</w:t>
      </w:r>
    </w:p>
    <w:p>
      <w:r>
        <w:rPr>
          <w:b/>
        </w:rPr>
        <w:t xml:space="preserve">Ergebnis: </w:t>
      </w:r>
      <w:r>
        <w:t>Nach beiden Impfungen: robuste Steigerung humoraler und zellulärer Antworten. Influenza-Impfung beeinträchtigte Spike-spezifische Antikörper oder T-Zell-Antworten nicht. Spike-Reaktionen blieben 6 Monate stabil und über Niveau ungeimpfter Kontrollen.</w:t>
      </w:r>
    </w:p>
    <w:p>
      <w:r>
        <w:rPr>
          <w:b/>
          <w:sz w:val="19"/>
        </w:rPr>
        <w:t xml:space="preserve">Übertragbarkeit: </w:t>
      </w:r>
      <w:r>
        <w:rPr>
          <w:sz w:val="19"/>
        </w:rPr>
        <w:t>Deutschland, vergleichbares Dialyse-System, aber kleine Kohorte; Transfer auf Hochrisiko-Populationen möglich.</w:t>
      </w:r>
    </w:p>
    <w:p>
      <w:r>
        <w:rPr>
          <w:color w:val="5A7D3A"/>
          <w:sz w:val="18"/>
        </w:rPr>
        <w:t>https://pubmed.ncbi.nlm.nih.gov/42410167/</w:t>
      </w:r>
    </w:p>
    <w:p>
      <w:pPr>
        <w:pStyle w:val="Heading1"/>
      </w:pPr>
      <w:r>
        <w:t>Aufgenommen am 08.09.2026</w:t>
      </w:r>
    </w:p>
    <w:p>
      <w:pPr>
        <w:pStyle w:val="Heading2"/>
      </w:pPr>
      <w:r>
        <w:t>Influenzaimpfung in der Schwangerschaft: Wahrnehmungen, Barrieren und Einflussfaktoren im Iran</w:t>
      </w:r>
    </w:p>
    <w:p>
      <w:r>
        <w:rPr>
          <w:i/>
          <w:color w:val="666666"/>
          <w:sz w:val="18"/>
        </w:rPr>
        <w:t>Yousefi M et al.  ·  Hum Vaccin Immunother  ·  07.09.2026  ·  PMID 42704733</w:t>
      </w:r>
    </w:p>
    <w:p>
      <w:r>
        <w:t>Querschnittsbefragung von 630 schwangeren Frauen zu Determinanten der Influenzaimpfakzeptanz mittels kombiniertem Health Belief Model und Theory of Planned Behavior.</w:t>
      </w:r>
    </w:p>
    <w:p>
      <w:r>
        <w:rPr>
          <w:b/>
        </w:rPr>
        <w:t xml:space="preserve">Ergebnis: </w:t>
      </w:r>
      <w:r>
        <w:t>73% wurden während Schwangerschaft geimpft. Wahrgenommene Anfälligkeit und positive Einstellung waren Prädiktoren für Impfintention (β=0,18 bzw. 0,13), wahrgenommene Barrieren wirkten negativ (β=-0,15). Häufigste Barrieren: Nebenwirkungsangst (49,4%), eingeschränkter Zugang (28,2%), fehlende Ärztempfehlung (27,1%), unzureichende Information (34,1%).</w:t>
      </w:r>
    </w:p>
    <w:p>
      <w:r>
        <w:rPr>
          <w:b/>
          <w:sz w:val="19"/>
        </w:rPr>
        <w:t xml:space="preserve">Übertragbarkeit: </w:t>
      </w:r>
      <w:r>
        <w:rPr>
          <w:sz w:val="19"/>
        </w:rPr>
        <w:t>Iran; Erkenntnisse zu Kommunikationsbarrieren in Ländern mit schwächerer Gesundheitsinfrastruktur teilweise übertragbar</w:t>
      </w:r>
    </w:p>
    <w:p>
      <w:r>
        <w:rPr>
          <w:color w:val="5A7D3A"/>
          <w:sz w:val="18"/>
        </w:rPr>
        <w:t>https://pubmed.ncbi.nlm.nih.gov/42704733/</w:t>
      </w:r>
    </w:p>
    <w:p>
      <w:pPr>
        <w:pStyle w:val="Heading2"/>
      </w:pPr>
      <w:r>
        <w:t>Schulisches Engagement für HPV-Impfbewusstsein steigert Akzeptanz bei Mädchen in Malawi</w:t>
      </w:r>
    </w:p>
    <w:p>
      <w:r>
        <w:rPr>
          <w:i/>
          <w:color w:val="666666"/>
          <w:sz w:val="18"/>
        </w:rPr>
        <w:t>Lubanga AF et al.  ·  Hum Vaccin Immunother  ·  07.09.2026  ·  PMID 42703762</w:t>
      </w:r>
    </w:p>
    <w:p>
      <w:r>
        <w:t>Implementierungsfallstudie einer zweitägigen Schulen- und Gemeinde-Engagementinitiative zur HPV-Impfförderung in Lilongwe, Malawi (2025–2026).</w:t>
      </w:r>
    </w:p>
    <w:p>
      <w:r>
        <w:rPr>
          <w:b/>
        </w:rPr>
        <w:t xml:space="preserve">Ergebnis: </w:t>
      </w:r>
      <w:r>
        <w:t>Über 500 Mädchen (9–14 Jahre) wurden durch schulische Aufklärung erreicht, 45 Gemeindeakteure eingebunden, 100 berechtigte Mädchen geimpft. Zentrale Erfolgsfaktoren: Vertrauen zu Impfpersonal, Schulbeteiligung, Dialogformate, Unterstützung von Gemeindeleitern. Identifizierte Bedenken: Fertilitätsangst, Impfstoffsicherheit, Geschlechtszielung.</w:t>
      </w:r>
    </w:p>
    <w:p>
      <w:r>
        <w:rPr>
          <w:b/>
          <w:sz w:val="19"/>
        </w:rPr>
        <w:t xml:space="preserve">Übertragbarkeit: </w:t>
      </w:r>
      <w:r>
        <w:rPr>
          <w:sz w:val="19"/>
        </w:rPr>
        <w:t>Subsahara-Afrika; Strategien für vertrauensbasierte Gemeindemobilisierung teilweise auf Deutschland übertragbar</w:t>
      </w:r>
    </w:p>
    <w:p>
      <w:r>
        <w:rPr>
          <w:color w:val="5A7D3A"/>
          <w:sz w:val="18"/>
        </w:rPr>
        <w:t>https://pubmed.ncbi.nlm.nih.gov/42703762/</w:t>
      </w:r>
    </w:p>
    <w:p>
      <w:pPr>
        <w:pStyle w:val="Heading2"/>
      </w:pPr>
      <w:r>
        <w:t>COVID-19-Auffrischungsimpfung: Ländliche und städtische Disparitäten in Südbangladesh</w:t>
      </w:r>
    </w:p>
    <w:p>
      <w:r>
        <w:rPr>
          <w:i/>
          <w:color w:val="666666"/>
          <w:sz w:val="18"/>
        </w:rPr>
        <w:t>Nath Roy D et al.  ·  Risk Anal  ·  Sept. 2026  ·  PMID 42702940</w:t>
      </w:r>
    </w:p>
    <w:p>
      <w:r>
        <w:t>Querschnittsbeobachtungsstudie (Dezember 2023–März 2024) zu Akzeptanz und Prädiktoren der Auffrischungsimpfung in ländlichen (n=379) und städtischen (n=328) Populationen in Südbangladesh.</w:t>
      </w:r>
    </w:p>
    <w:p>
      <w:r>
        <w:rPr>
          <w:b/>
        </w:rPr>
        <w:t xml:space="preserve">Ergebnis: </w:t>
      </w:r>
      <w:r>
        <w:t>Akzeptanzquote 69,9% insgesamt, ländlich 62,5% (95%-KI: 60,6–64,8) vs. urban 78,4% (95%-KI: 76,2–80,6; p&lt;0,001). Nebenwirkungsangst negativ assoziiert in beiden Settings. Ländlich: Kommunikation, Vertrauen, sozialer Einfluss positiv assoziiert. Urban: Gemeinschaftsschutz und Risiko-Nutzen-Verhältnis signifikant; Unabhängigkeit von Nicht-Pharmaka negativ assoziiert.</w:t>
      </w:r>
    </w:p>
    <w:p>
      <w:r>
        <w:rPr>
          <w:b/>
          <w:sz w:val="19"/>
        </w:rPr>
        <w:t xml:space="preserve">Übertragbarkeit: </w:t>
      </w:r>
      <w:r>
        <w:rPr>
          <w:sz w:val="19"/>
        </w:rPr>
        <w:t>Bangladesch; Erkenntnisse zu Vertrauenslücken und Kommunikationshindernissen in Ländern mit niedriger Impfquote</w:t>
      </w:r>
    </w:p>
    <w:p>
      <w:r>
        <w:rPr>
          <w:color w:val="5A7D3A"/>
          <w:sz w:val="18"/>
        </w:rPr>
        <w:t>https://pubmed.ncbi.nlm.nih.gov/42702940/</w:t>
      </w:r>
    </w:p>
    <w:p>
      <w:pPr>
        <w:pStyle w:val="Heading2"/>
      </w:pPr>
      <w:r>
        <w:t>COVID-19-Impfquote bei Psychiatriepatienten in Bayern deutlich höher als in der Bevölkerung</w:t>
      </w:r>
    </w:p>
    <w:p>
      <w:r>
        <w:rPr>
          <w:i/>
          <w:color w:val="666666"/>
          <w:sz w:val="18"/>
        </w:rPr>
        <w:t>Aksar A et al.  ·  J Psychiatr Res  ·  12.08.2026  ·  PMID 42603342</w:t>
      </w:r>
    </w:p>
    <w:p>
      <w:r>
        <w:t>Retrospektive Analyse der COVID-19-Impfquoten bei psychiatrischen Patienten in stationärer und ambulanter Behandlung in Südostbayern (2022–2023) im Vergleich zur Allgemeinbevölkerung.</w:t>
      </w:r>
    </w:p>
    <w:p>
      <w:r>
        <w:rPr>
          <w:b/>
        </w:rPr>
        <w:t xml:space="preserve">Ergebnis: </w:t>
      </w:r>
      <w:r>
        <w:t>Ungeimpftenquote in der Studiengruppe (n=3.734 Fälle) 13,6% vs. Bayerndurchschnitt 15–20%; höhere Quoten bei älteren und weiblichen Patienten, niedrigere bei Alkohol- und Substanzabhängigen. Ergebnis deuted auf positive Effekte von stationären Impfangeboten hin, bedarf aber weiterer Erforschung.</w:t>
      </w:r>
    </w:p>
    <w:p>
      <w:r>
        <w:rPr>
          <w:b/>
          <w:sz w:val="19"/>
        </w:rPr>
        <w:t xml:space="preserve">Übertragbarkeit: </w:t>
      </w:r>
      <w:r>
        <w:rPr>
          <w:sz w:val="19"/>
        </w:rPr>
        <w:t>Deutsche Klinikdaten, eigene Impfdokumentation ohne Registeranbindung</w:t>
      </w:r>
    </w:p>
    <w:p>
      <w:r>
        <w:rPr>
          <w:color w:val="5A7D3A"/>
          <w:sz w:val="18"/>
        </w:rPr>
        <w:t>https://pubmed.ncbi.nlm.nih.gov/42603342/</w:t>
      </w:r>
    </w:p>
    <w:p>
      <w:pPr>
        <w:pStyle w:val="Heading2"/>
      </w:pPr>
      <w:r>
        <w:t>Neustart in der RSV-Prävention: Nirsevimab und mütterliche Vakzination reduzieren Hospitalisierungen</w:t>
      </w:r>
    </w:p>
    <w:p>
      <w:r>
        <w:rPr>
          <w:i/>
          <w:color w:val="666666"/>
          <w:sz w:val="18"/>
        </w:rPr>
        <w:t>Marchetti F  ·  Recenti Prog Med  ·  Juli 2026  ·  PMID 42459097</w:t>
      </w:r>
    </w:p>
    <w:p>
      <w:r>
        <w:t>Narrativer Übersichtsartikel zur neuen Ärade der RSV-Prävention in früher Kindheit durch langwirksames monoklonales Antikörper Nirsevimab und mütterliche RSVpreF-Impfung basierend auf Real-World Evidence.</w:t>
      </w:r>
    </w:p>
    <w:p>
      <w:r>
        <w:rPr>
          <w:b/>
        </w:rPr>
        <w:t xml:space="preserve">Ergebnis: </w:t>
      </w:r>
      <w:r>
        <w:t>Großangelegte bevölkerungsbasierte Studien (z.B. französische Studie mit &gt;160.000 Säuglingen) belegen wesentliche Reduktion von RSV-bedingten Hospitalisierungen, intensivmedizinischer Aufnahmen und Beatmungsbedarf bei Nirsevimab-geimpften Säuglingen. Mütterliche Impfung schützt transplazentar bei optimaler Timing; Nirsevimab bietet unabhängige Vorhersagbarkeit.</w:t>
      </w:r>
    </w:p>
    <w:p>
      <w:r>
        <w:rPr>
          <w:b/>
          <w:sz w:val="19"/>
        </w:rPr>
        <w:t xml:space="preserve">Übertragbarkeit: </w:t>
      </w:r>
      <w:r>
        <w:rPr>
          <w:sz w:val="19"/>
        </w:rPr>
        <w:t>Frankreich und europäische Daten zur Implementierungserfahrung; nationales Impfprogramm für Deutschland noch zu entwickeln</w:t>
      </w:r>
    </w:p>
    <w:p>
      <w:r>
        <w:rPr>
          <w:color w:val="5A7D3A"/>
          <w:sz w:val="18"/>
        </w:rPr>
        <w:t>https://pubmed.ncbi.nlm.nih.gov/42459097/</w:t>
      </w:r>
    </w:p>
    <w:p>
      <w:pPr>
        <w:pStyle w:val="Heading2"/>
      </w:pPr>
      <w:r>
        <w:t>Immunitätslücken bei Diphtherie, Tetanus und Keuchhusten in Norwegen</w:t>
      </w:r>
    </w:p>
    <w:p>
      <w:r>
        <w:rPr>
          <w:i/>
          <w:color w:val="666666"/>
          <w:sz w:val="18"/>
        </w:rPr>
        <w:t>Aase A et al.  ·  Vaccine  ·  30.08.2026  ·  PMID 42413320</w:t>
      </w:r>
    </w:p>
    <w:p>
      <w:r>
        <w:t>Serologische Querschnittsstudie an repräsentativer norwegischer Bevölkerung (n=3.051, Alter 2–95 Jahre) zur Antikörperprävalenz gegen sieben Impfkrankheiten.</w:t>
      </w:r>
    </w:p>
    <w:p>
      <w:r>
        <w:rPr>
          <w:b/>
        </w:rPr>
        <w:t xml:space="preserve">Ergebnis: </w:t>
      </w:r>
      <w:r>
        <w:t>39,8% der Frauen und 25,0% der Männer ≥60 Jahre unter Schutzwert Diphtherie; 76,5% bzw. 41,7% unter Schutzwert Tetanus. Bei 6-Jährigen: 20,7% unter Diphtherie-, 25,0% unter Tetanus-Schutzwert vor Auffrischung. Masern und Röteln ausreichend protektiv in allen Altersgruppen.</w:t>
      </w:r>
    </w:p>
    <w:p>
      <w:r>
        <w:rPr>
          <w:b/>
          <w:sz w:val="19"/>
        </w:rPr>
        <w:t xml:space="preserve">Übertragbarkeit: </w:t>
      </w:r>
      <w:r>
        <w:rPr>
          <w:sz w:val="19"/>
        </w:rPr>
        <w:t>Nordeuropäisches Impfregister ermöglicht präzise Kohortenabfrage; Empfehlungskalender und Auffrischungsintervalle nicht direkt auf Deutschland übertragbar</w:t>
      </w:r>
    </w:p>
    <w:p>
      <w:r>
        <w:rPr>
          <w:color w:val="5A7D3A"/>
          <w:sz w:val="18"/>
        </w:rPr>
        <w:t>https://pubmed.ncbi.nlm.nih.gov/42413320/</w:t>
      </w:r>
    </w:p>
    <w:p>
      <w:pPr>
        <w:pStyle w:val="Heading1"/>
      </w:pPr>
      <w:r>
        <w:t>Aufgenommen am 07.09.2026</w:t>
      </w:r>
    </w:p>
    <w:p>
      <w:pPr>
        <w:pStyle w:val="Heading2"/>
      </w:pPr>
      <w:r>
        <w:t>HPV-Impfbereitschaft männlicher Studierender: Krankheitserkennung stärker als Dienstleistungsbewusstsein</w:t>
      </w:r>
    </w:p>
    <w:p>
      <w:r>
        <w:rPr>
          <w:i/>
          <w:color w:val="666666"/>
          <w:sz w:val="18"/>
        </w:rPr>
        <w:t>Zhang Y et al.  ·  Front Public Health  ·  21.08.2026  ·  PMID 42698614</w:t>
      </w:r>
    </w:p>
    <w:p>
      <w:r>
        <w:t>Querschnittsumfrage mit 4.260 männlichen Studierenden in China (Festland, Hongkong, Macau, Ausland) zur Bereitschaft für Grenzüberschreitungs-HPV-Impfung (2025–2026).</w:t>
      </w:r>
    </w:p>
    <w:p>
      <w:r>
        <w:rPr>
          <w:b/>
        </w:rPr>
        <w:t xml:space="preserve">Ergebnis: </w:t>
      </w:r>
      <w:r>
        <w:t>74,7% (3.182/4.260) zeigten Bereitschaft für Grenzüberschreitung. Krankheitserkennung war dominantester Faktor: Teilnehmer ohne Erkennung ≥1 HPV-assoziierter Erkrankung hatten deutlich niedrigere Quote (aOR=0,041, 95%-KI 0,017–0,095, p&lt;0,001). Bewusstsein für Grenzüberschreitungsangebot schwach positiv (aOR=1,233, p=0,008). Schulische HPV-Aufklärung (aOR=1,203, p=0,044) und höheres Klassenniveau (aOR=1,111 pro Stufe, p=0,012) assoziiert.</w:t>
      </w:r>
    </w:p>
    <w:p>
      <w:r>
        <w:rPr>
          <w:b/>
          <w:sz w:val="19"/>
        </w:rPr>
        <w:t xml:space="preserve">Übertragbarkeit: </w:t>
      </w:r>
      <w:r>
        <w:rPr>
          <w:sz w:val="19"/>
        </w:rPr>
        <w:t>China – kulturell/system-spezifisch, Erkenntnisse zu Edukationsbedarf und männlicher Impfskepsis aber verallgemeinerbar</w:t>
      </w:r>
    </w:p>
    <w:p>
      <w:r>
        <w:rPr>
          <w:color w:val="5A7D3A"/>
          <w:sz w:val="18"/>
        </w:rPr>
        <w:t>https://pubmed.ncbi.nlm.nih.gov/42698614/</w:t>
      </w:r>
    </w:p>
    <w:p>
      <w:pPr>
        <w:pStyle w:val="Heading2"/>
      </w:pPr>
      <w:r>
        <w:t>Neutralisierende Antikörper senken Risiko für schwere COVID-19 um durchschnittlich 43 %</w:t>
      </w:r>
    </w:p>
    <w:p>
      <w:r>
        <w:rPr>
          <w:i/>
          <w:color w:val="666666"/>
          <w:sz w:val="18"/>
        </w:rPr>
        <w:t>Elias KM et al.  ·  PLoS Med  ·  02.09.2026  ·  PMID 42685247</w:t>
      </w:r>
    </w:p>
    <w:p>
      <w:r>
        <w:t>Meta-Analyse von 25 klinischen Studien zur Wirksamkeit vakzininduzierten Neutralisierungstitern gegen Progression zu schwerem COVID-19 bei Infizierten.</w:t>
      </w:r>
    </w:p>
    <w:p>
      <w:r>
        <w:rPr>
          <w:b/>
        </w:rPr>
        <w:t xml:space="preserve">Ergebnis: </w:t>
      </w:r>
      <w:r>
        <w:t>Zehnfacher Anstieg der Neutralisierungstiter senkt relatives Progressionsrisiko zu schwerer Erkrankung um 43% (RR 0,57, 95%-KI [0,51–0,64], p&lt;0,001). Schutz durch Impfung übertrifft passiv verabreichte Antikörper, deutet aber auch auf zusätzliche T-Zell-Mechanismen hin.</w:t>
      </w:r>
    </w:p>
    <w:p>
      <w:r>
        <w:rPr>
          <w:b/>
          <w:sz w:val="19"/>
        </w:rPr>
        <w:t xml:space="preserve">Übertragbarkeit: </w:t>
      </w:r>
      <w:r>
        <w:rPr>
          <w:sz w:val="19"/>
        </w:rPr>
        <w:t>Australien/international – laborbasierte Korrelate, mechanistischer Befund übertragbar auf deutsche Population</w:t>
      </w:r>
    </w:p>
    <w:p>
      <w:r>
        <w:rPr>
          <w:color w:val="5A7D3A"/>
          <w:sz w:val="18"/>
        </w:rPr>
        <w:t>https://pubmed.ncbi.nlm.nih.gov/42685247/</w:t>
      </w:r>
    </w:p>
    <w:p>
      <w:pPr>
        <w:pStyle w:val="Heading2"/>
      </w:pPr>
      <w:r>
        <w:t>Pneumokokken-Impfquote bei immunsupprimierten Personen in England deutlich unter Zielwert</w:t>
      </w:r>
    </w:p>
    <w:p>
      <w:r>
        <w:rPr>
          <w:i/>
          <w:color w:val="666666"/>
          <w:sz w:val="18"/>
        </w:rPr>
        <w:t>Meza B et al.  ·  JMIR Res Protoc  ·  09.07.2026  ·  PMID 42424613</w:t>
      </w:r>
    </w:p>
    <w:p>
      <w:r>
        <w:t>Retrospektive Kohortenstudie mit Registerdaten von 2025 bis 2026 zur Impfquote bei Erwachsenen mit Immunsuppression in primärärztlicher Versorgung (Oxford-RCGP-Netzwerk).</w:t>
      </w:r>
    </w:p>
    <w:p>
      <w:r>
        <w:rPr>
          <w:b/>
        </w:rPr>
        <w:t xml:space="preserve">Ergebnis: </w:t>
      </w:r>
      <w:r>
        <w:t>Pneumokokken-Impfquote in der immunsupprimierten Population bleibt eine Unbekannte, die Studie befindet sich noch in Analyse (Ergebnisse für 2026 erwartet). Ziel: Disaggregierte Berichte über Impfquoten nach Immunsuppression-Grund, sozioökonomischem Gradienten und ethnischer Gruppe. Erkenntes Problem: Breite Lücke bei hochrisikogruppenspezifischen Impfquoten-Daten.</w:t>
      </w:r>
    </w:p>
    <w:p>
      <w:r>
        <w:rPr>
          <w:b/>
          <w:sz w:val="19"/>
        </w:rPr>
        <w:t xml:space="preserve">Übertragbarkeit: </w:t>
      </w:r>
      <w:r>
        <w:rPr>
          <w:sz w:val="19"/>
        </w:rPr>
        <w:t>Großbritannien – vergleichbares NHS-System, aber kein deutsches Impfregister; Qualität hängt von Registerdatenverfügbarkeit ab</w:t>
      </w:r>
    </w:p>
    <w:p>
      <w:r>
        <w:rPr>
          <w:color w:val="5A7D3A"/>
          <w:sz w:val="18"/>
        </w:rPr>
        <w:t>https://pubmed.ncbi.nlm.nih.gov/42424613/</w:t>
      </w:r>
    </w:p>
    <w:p>
      <w:pPr>
        <w:pStyle w:val="Heading2"/>
      </w:pPr>
      <w:r>
        <w:t>COVID-Impfmandates als Anreiz-Instrumente: 7S-Rahmen für Mandatspolitik</w:t>
      </w:r>
    </w:p>
    <w:p>
      <w:r>
        <w:rPr>
          <w:i/>
          <w:color w:val="666666"/>
          <w:sz w:val="18"/>
        </w:rPr>
        <w:t>Duong H et al.  ·  Glob Public Health  ·  31.12.2026  ·  PMID 42421423</w:t>
      </w:r>
    </w:p>
    <w:p>
      <w:r>
        <w:t>Qualitative Analyse von Impfmandaten in sechs Ländern (Australien, Frankreich, Israel, Malaysia, Singapur, Vietnam) zur Unterscheidung zwischen Zwang und Anreizen.</w:t>
      </w:r>
    </w:p>
    <w:p>
      <w:r>
        <w:rPr>
          <w:b/>
        </w:rPr>
        <w:t xml:space="preserve">Ergebnis: </w:t>
      </w:r>
      <w:r>
        <w:t>Mandate funktionierten überwiegend als Anreize zur Wiederherstellung von Grundrechten (Arbeit, Reisen, öffentliche Räume), die durch Lockdowns entzogen wurden. Theoretischer Rahmen zeigt: Konzeptionelle Definition muss zwischen «Entziehung-Wiederherstellung» und echtem Zwang unterscheiden. Kernaussage für Mandatsforschung: Kontext von Pandemie-Restriktionen prägt Wahrnehmung und Effektivität erheblich.</w:t>
      </w:r>
    </w:p>
    <w:p>
      <w:r>
        <w:rPr>
          <w:b/>
          <w:sz w:val="19"/>
        </w:rPr>
        <w:t xml:space="preserve">Übertragbarkeit: </w:t>
      </w:r>
      <w:r>
        <w:rPr>
          <w:sz w:val="19"/>
        </w:rPr>
        <w:t>Internationale Perspektive – Policyanalyse, weniger direkt auf deutsches System übertragbar, aber konzeptuell relevant für Impfpflicht-Debatten</w:t>
      </w:r>
    </w:p>
    <w:p>
      <w:r>
        <w:rPr>
          <w:color w:val="5A7D3A"/>
          <w:sz w:val="18"/>
        </w:rPr>
        <w:t>https://pubmed.ncbi.nlm.nih.gov/42421423/</w:t>
      </w:r>
    </w:p>
    <w:p>
      <w:pPr>
        <w:pStyle w:val="Heading2"/>
      </w:pPr>
      <w:r>
        <w:t>Video-Intervention steigert Impfbewusstsein bei psychischen Erkrankungen, nicht Impfbereitschaft</w:t>
      </w:r>
    </w:p>
    <w:p>
      <w:r>
        <w:rPr>
          <w:i/>
          <w:color w:val="666666"/>
          <w:sz w:val="18"/>
        </w:rPr>
        <w:t>Huth D et al.  ·  Front Public Health  ·  23.06.2026  ·  PMID 42415765</w:t>
      </w:r>
    </w:p>
    <w:p>
      <w:r>
        <w:t>Randomisierte Online-Studie mit 639 deutschsprachigen Teilnehmern (24,4% mit selbstberichteter psychischer Störung) zur Wirkung eines Aufklärungsvideos auf COVID-19-Impfakzeptanz bei vulnerablen Gruppen.</w:t>
      </w:r>
    </w:p>
    <w:p>
      <w:r>
        <w:rPr>
          <w:b/>
        </w:rPr>
        <w:t xml:space="preserve">Ergebnis: </w:t>
      </w:r>
      <w:r>
        <w:t>Video erhöhte Risikobewusstsein signifikant (p=0,010, d=0,21) und Verständnis für Impfung bei psychischen Erkrankungen (p=0,033, d=0,17), steigerte aber nicht die Impfbereitschaft. Versorgungslücke bleibt offen: Psychisch kranke Menschen zeigen höhere wahrgenommene Anfälligkeit (p=0,032, d=0,36), aber Aufklärung allein führt zu keinem Verhaltenswechsel.</w:t>
      </w:r>
    </w:p>
    <w:p>
      <w:r>
        <w:rPr>
          <w:b/>
          <w:sz w:val="19"/>
        </w:rPr>
        <w:t xml:space="preserve">Übertragbarkeit: </w:t>
      </w:r>
      <w:r>
        <w:rPr>
          <w:sz w:val="19"/>
        </w:rPr>
        <w:t>Deutschland – Teilnehmer aus deutscher Bevölkerung, lokale Vulnerabilitätsgruppen</w:t>
      </w:r>
    </w:p>
    <w:p>
      <w:r>
        <w:rPr>
          <w:color w:val="5A7D3A"/>
          <w:sz w:val="18"/>
        </w:rPr>
        <w:t>https://pubmed.ncbi.nlm.nih.gov/42415765/</w:t>
      </w:r>
    </w:p>
    <w:p>
      <w:pPr>
        <w:pStyle w:val="Heading1"/>
      </w:pPr>
      <w:r>
        <w:t>Aufgenommen am 06.09.2026</w:t>
      </w:r>
    </w:p>
    <w:p>
      <w:pPr>
        <w:pStyle w:val="Heading2"/>
      </w:pPr>
      <w:r>
        <w:t>Tetanus-Schutzimpfungen bei Frauen in Afghanistan: massive Deckungslücken</w:t>
      </w:r>
    </w:p>
    <w:p>
      <w:r>
        <w:rPr>
          <w:i/>
          <w:color w:val="666666"/>
          <w:sz w:val="18"/>
        </w:rPr>
        <w:t>Stanikzai MH et al.  ·  Hum Vaccin Immunother  ·  02.09.2026  ·  PMID 42683523</w:t>
      </w:r>
    </w:p>
    <w:p>
      <w:r>
        <w:t>Nationale Survey mit 12450 verheirateten Frauen in Afghanistan untersuchte Tetanus-Impfquoten und deren Assoziationen.</w:t>
      </w:r>
    </w:p>
    <w:p>
      <w:r>
        <w:rPr>
          <w:b/>
        </w:rPr>
        <w:t xml:space="preserve">Ergebnis: </w:t>
      </w:r>
      <w:r>
        <w:t>Nur 49,9% mit adäquater TT-Immunisierung. Höhere Quote bei sekundärer/höherer Bildung (AOR=1,57), bei ≥4 Antenatal-Care-Besuchen (AOR=4,67), in Regionen mit besserer Infrastruktur. Geringere Quote bei Frauen ≥40 Jahren (AOR=0,76) und in Ost- und Westregionen. Zeigt massive Ungleichheit.</w:t>
      </w:r>
    </w:p>
    <w:p>
      <w:r>
        <w:rPr>
          <w:b/>
          <w:sz w:val="19"/>
        </w:rPr>
        <w:t xml:space="preserve">Übertragbarkeit: </w:t>
      </w:r>
      <w:r>
        <w:rPr>
          <w:sz w:val="19"/>
        </w:rPr>
        <w:t>Afghanistan-spezifisch, aber Methode zur Identifikation von Zugangsbarrieren übertragbar</w:t>
      </w:r>
    </w:p>
    <w:p>
      <w:r>
        <w:rPr>
          <w:color w:val="5A7D3A"/>
          <w:sz w:val="18"/>
        </w:rPr>
        <w:t>https://pubmed.ncbi.nlm.nih.gov/42683523/</w:t>
      </w:r>
    </w:p>
    <w:p>
      <w:pPr>
        <w:pStyle w:val="Heading2"/>
      </w:pPr>
      <w:r>
        <w:t>Masern-Antikörperwaning gefährdet Herdenimmunität trotz hoher Impfquoten</w:t>
      </w:r>
    </w:p>
    <w:p>
      <w:r>
        <w:rPr>
          <w:i/>
          <w:color w:val="666666"/>
          <w:sz w:val="18"/>
        </w:rPr>
        <w:t>Wang W et al.  ·  Front Immunol  ·  18.08.2026  ·  PMID 42682682</w:t>
      </w:r>
    </w:p>
    <w:p>
      <w:r>
        <w:t>Chinesische Serologie-Studie mit 2083 Teilnehmern untersuchte Masern-Antikörper-Persistenz und Immunitätslücken nach Elimination des Wildvirus.</w:t>
      </w:r>
    </w:p>
    <w:p>
      <w:r>
        <w:rPr>
          <w:b/>
        </w:rPr>
        <w:t xml:space="preserve">Ergebnis: </w:t>
      </w:r>
      <w:r>
        <w:t>Gesamte Seropositiv-Quote 84,59%, aber Antikörper-Spiegel zeigten nicht-linearen Rückgang mit Zeit. Kinder 8–17 Monate: nur 28,13% Seropositiv. Jedes Jahr seit letzter Impfung erhöhte Seronegativi-Risiko um 11% (AOR=1,11). Dies zeigt erhebliche Immunitätslücken trotz hoher MCV-Abdeckung.</w:t>
      </w:r>
    </w:p>
    <w:p>
      <w:r>
        <w:rPr>
          <w:b/>
          <w:sz w:val="19"/>
        </w:rPr>
        <w:t xml:space="preserve">Übertragbarkeit: </w:t>
      </w:r>
      <w:r>
        <w:rPr>
          <w:sz w:val="19"/>
        </w:rPr>
        <w:t>Epidemiologische Erkenntnisse übertragbar auf systematische Surveillance-Überwachung</w:t>
      </w:r>
    </w:p>
    <w:p>
      <w:r>
        <w:rPr>
          <w:color w:val="5A7D3A"/>
          <w:sz w:val="18"/>
        </w:rPr>
        <w:t>https://pubmed.ncbi.nlm.nih.gov/42682682/</w:t>
      </w:r>
    </w:p>
    <w:p>
      <w:pPr>
        <w:pStyle w:val="Heading2"/>
      </w:pPr>
      <w:r>
        <w:t>HPV-Impfschutz bestätigt trotz hoher Prävalenz nicht-geimpfter Typen</w:t>
      </w:r>
    </w:p>
    <w:p>
      <w:r>
        <w:rPr>
          <w:i/>
          <w:color w:val="666666"/>
          <w:sz w:val="18"/>
        </w:rPr>
        <w:t>Gross S et al.  ·  Arch Virol  ·  28.08.2026  ·  PMID 42663706</w:t>
      </w:r>
    </w:p>
    <w:p>
      <w:r>
        <w:t>Französische Studie untersuchte HPV-Genotypen bei 464 geimpften Frauen zur Bewertung der Impfeffektivität unter Alltagsbedingungen.</w:t>
      </w:r>
    </w:p>
    <w:p>
      <w:r>
        <w:rPr>
          <w:b/>
        </w:rPr>
        <w:t xml:space="preserve">Ergebnis: </w:t>
      </w:r>
      <w:r>
        <w:t>HPV16/18-Prävalenz lag bei nur 4,3%, was die Impfeffektivität bestätigt. Allerdings wurden hochrisiko-HPV-Typen (52, 51, 56) in 8,2–5,8% nachgewiesen, die nicht in Bivalent- oder Quadrivalent-Impfstoffen enthalten sind. Dies unterstreicht die Überlegenheit nonavalenter Impfstoffe.</w:t>
      </w:r>
    </w:p>
    <w:p>
      <w:r>
        <w:rPr>
          <w:b/>
          <w:sz w:val="19"/>
        </w:rPr>
        <w:t xml:space="preserve">Übertragbarkeit: </w:t>
      </w:r>
      <w:r>
        <w:rPr>
          <w:sz w:val="19"/>
        </w:rPr>
        <w:t>Frankreich, vergleichbares Versicherungssystem, Screening-Daten verfügbar</w:t>
      </w:r>
    </w:p>
    <w:p>
      <w:r>
        <w:rPr>
          <w:color w:val="5A7D3A"/>
          <w:sz w:val="18"/>
        </w:rPr>
        <w:t>https://pubmed.ncbi.nlm.nih.gov/42663706/</w:t>
      </w:r>
    </w:p>
    <w:p>
      <w:pPr>
        <w:pStyle w:val="Heading2"/>
      </w:pPr>
      <w:r>
        <w:t>HBV-Therapeutische Impfung zeigt Immunantwort, aber keine funktionale Heilung</w:t>
      </w:r>
    </w:p>
    <w:p>
      <w:r>
        <w:rPr>
          <w:i/>
          <w:color w:val="666666"/>
          <w:sz w:val="18"/>
        </w:rPr>
        <w:t>Jeng WJ et al.  ·  Hepatol Commun  ·  01.09.2026  ·  PMID 42623526</w:t>
      </w:r>
    </w:p>
    <w:p>
      <w:r>
        <w:t>Phase-1/2-RCT mit 134 Patienten mit chronischer Hepatitis B unter Nukleos(t)id-Analoga testete heterologe prime-boost Impfstrategie.</w:t>
      </w:r>
    </w:p>
    <w:p>
      <w:r>
        <w:rPr>
          <w:b/>
        </w:rPr>
        <w:t xml:space="preserve">Ergebnis: </w:t>
      </w:r>
      <w:r>
        <w:t>Kein HBsAg-Verlust oder ≥1-log-Reduktion bei allen 134 Patienten (primärer Endpunkt verfehlt). Co-Gabe induzierte stärkste Anti-HBs-Antwort (73,7% ≥10 mIU/mL vs. 40% sequential). Grade-3-AE häufiger bei Co-Gabe (59,3% systemisch). CD4+/CD8+ T-Zell-Antworten nachgewiesen, aber begrenzte klinische Wirksamkeit.</w:t>
      </w:r>
    </w:p>
    <w:p>
      <w:r>
        <w:rPr>
          <w:b/>
          <w:sz w:val="19"/>
        </w:rPr>
        <w:t xml:space="preserve">Übertragbarkeit: </w:t>
      </w:r>
      <w:r>
        <w:rPr>
          <w:sz w:val="19"/>
        </w:rPr>
        <w:t>Europäische und internationale Zentren, vergleichbar mit deutschem Versicherungssystem</w:t>
      </w:r>
    </w:p>
    <w:p>
      <w:r>
        <w:rPr>
          <w:color w:val="5A7D3A"/>
          <w:sz w:val="18"/>
        </w:rPr>
        <w:t>https://pubmed.ncbi.nlm.nih.gov/42623526/</w:t>
      </w:r>
    </w:p>
    <w:p>
      <w:pPr>
        <w:pStyle w:val="Heading2"/>
      </w:pPr>
      <w:r>
        <w:t>Computergestützte Prognosen in Schwedens COVID-Impfphase: Forschung ohne Politikbezug</w:t>
      </w:r>
    </w:p>
    <w:p>
      <w:r>
        <w:rPr>
          <w:i/>
          <w:color w:val="666666"/>
          <w:sz w:val="18"/>
        </w:rPr>
        <w:t>Jöud AS et al.  ·  BMC Health Serv Res  ·  10.07.2026  ·  PMID 42432642</w:t>
      </w:r>
    </w:p>
    <w:p>
      <w:r>
        <w:t>Systematische Literaturübersicht bewertete 6 peer-reviewte Computerprognosestudien mit Schwedendaten zur COVID-19-Impfphase 2020–2023.</w:t>
      </w:r>
    </w:p>
    <w:p>
      <w:r>
        <w:rPr>
          <w:b/>
        </w:rPr>
        <w:t xml:space="preserve">Ergebnis: </w:t>
      </w:r>
      <w:r>
        <w:t>Alle 6 Studien zeigten Bayesianische Kalibrierung als Methode, aber keine externe Modellvalidation. Kein einziger Artikel bezog sich auf Politikentscheidungen als primären Forschungskontext. Schluss: Computergestützte Forschung diente Modellentwicklung, nicht Politikunterstützung – Kluft zwischen Forschung und Versorgungsbedarf.</w:t>
      </w:r>
    </w:p>
    <w:p>
      <w:r>
        <w:rPr>
          <w:b/>
          <w:sz w:val="19"/>
        </w:rPr>
        <w:t xml:space="preserve">Übertragbarkeit: </w:t>
      </w:r>
      <w:r>
        <w:rPr>
          <w:sz w:val="19"/>
        </w:rPr>
        <w:t>Schweden, zeigte methodische Lücke bei Verankerung von Forschung in Versorgungspraxis</w:t>
      </w:r>
    </w:p>
    <w:p>
      <w:r>
        <w:rPr>
          <w:color w:val="5A7D3A"/>
          <w:sz w:val="18"/>
        </w:rPr>
        <w:t>https://pubmed.ncbi.nlm.nih.gov/42432642/</w:t>
      </w:r>
    </w:p>
    <w:p>
      <w:pPr>
        <w:pStyle w:val="Heading2"/>
      </w:pPr>
      <w:r>
        <w:t>PCV21 kosteneffektiver als PCV20 in Dänemarks Pneumokokken-Impfprogramm</w:t>
      </w:r>
    </w:p>
    <w:p>
      <w:r>
        <w:rPr>
          <w:i/>
          <w:color w:val="666666"/>
          <w:sz w:val="18"/>
        </w:rPr>
        <w:t>Sharomi O et al.  ·  Expert Rev Pharmacoecon Outcomes Res  ·  10.07.2026  ·  PMID 42421526</w:t>
      </w:r>
    </w:p>
    <w:p>
      <w:r>
        <w:t>Dänemark: Modellanalyse verglich 100-Jahres-Gesundheitsfolgen von PCV21- vs. PCV20-Programm für Erwachsene ≥65 Jahre.</w:t>
      </w:r>
    </w:p>
    <w:p>
      <w:r>
        <w:rPr>
          <w:b/>
        </w:rPr>
        <w:t xml:space="preserve">Ergebnis: </w:t>
      </w:r>
      <w:r>
        <w:t>PCV21 gegenüber PCV20: 29309 NBPP-Fälle, 627 IPD-Fälle und 1312 Todesfälle vermieden über 100 Jahre. 835,2 Mio. dänische Kronen Kosteneinsparung, 759 QALY-Gewinn. ICER-Wert zeigt kostenspannung dominante Strategie (dominant = Einsparungen + bessere Outcomes).</w:t>
      </w:r>
    </w:p>
    <w:p>
      <w:r>
        <w:rPr>
          <w:b/>
          <w:sz w:val="19"/>
        </w:rPr>
        <w:t xml:space="preserve">Übertragbarkeit: </w:t>
      </w:r>
      <w:r>
        <w:rPr>
          <w:sz w:val="19"/>
        </w:rPr>
        <w:t>Dänemark, vergleichbares nordeuropäisches Versicherungssystem und Impfkalender</w:t>
      </w:r>
    </w:p>
    <w:p>
      <w:r>
        <w:rPr>
          <w:color w:val="5A7D3A"/>
          <w:sz w:val="18"/>
        </w:rPr>
        <w:t>https://pubmed.ncbi.nlm.nih.gov/42421526/</w:t>
      </w:r>
    </w:p>
    <w:p>
      <w:pPr>
        <w:pStyle w:val="Heading1"/>
      </w:pPr>
      <w:r>
        <w:t>Aufgenommen am 05.09.2026</w:t>
      </w:r>
    </w:p>
    <w:p>
      <w:pPr>
        <w:pStyle w:val="Heading2"/>
      </w:pPr>
      <w:r>
        <w:t>Influenza-Impfeffektivität gegen Hospitalisierung bei Erwachsenen mit chronischen Erkrankungen</w:t>
      </w:r>
    </w:p>
    <w:p>
      <w:r>
        <w:rPr>
          <w:i/>
          <w:color w:val="666666"/>
          <w:sz w:val="18"/>
        </w:rPr>
        <w:t>Toledo D et al.  ·  Influenza Other Respir Viruses  ·  Sept. 2026  ·  PMID 42693773</w:t>
      </w:r>
    </w:p>
    <w:p>
      <w:r>
        <w:t>Multizentrisches Fall-Kontroll-Verfahren aus 17 spanischen Krankenhäusern zur Bestimmung der klinischen Effektivität der saisonalen Influenzaimpfung bei hospitalisiert behandelten Erwachsenen (15–64 Jahre) mit vorbestehenden medizinischen Erkrankungen über drei Influenzajahreszeiten.</w:t>
      </w:r>
    </w:p>
    <w:p>
      <w:r>
        <w:rPr>
          <w:b/>
        </w:rPr>
        <w:t xml:space="preserve">Ergebnis: </w:t>
      </w:r>
      <w:r>
        <w:t>Von 1.220 hospitalisierten Erwachsenen waren 25,2 % geimpft. Die Impfeffektivität variierte nach Saison, Altersgruppe und Virus-Subtyp; statistisch signifikanter Schutz wurde für alle Jahreszeiten gemeinsam gegen A(H3N2) beobachtet, einzelne Jahreszeiten zeigten keine signifikanten Unterschiede. Die Studie unterstreicht geringe saisonale Influenzaimpfquoten in dieser Bevölkerungsgruppe und die Notwendigkeit verbesserter Impfstrategien.</w:t>
      </w:r>
    </w:p>
    <w:p>
      <w:r>
        <w:rPr>
          <w:b/>
          <w:sz w:val="19"/>
        </w:rPr>
        <w:t xml:space="preserve">Übertragbarkeit: </w:t>
      </w:r>
      <w:r>
        <w:rPr>
          <w:sz w:val="19"/>
        </w:rPr>
        <w:t>Spanien, vergleichbares Gesundheitssystem; Hospitalisierungsdaten messbar</w:t>
      </w:r>
    </w:p>
    <w:p>
      <w:r>
        <w:rPr>
          <w:color w:val="5A7D3A"/>
          <w:sz w:val="18"/>
        </w:rPr>
        <w:t>https://pubmed.ncbi.nlm.nih.gov/42693773/</w:t>
      </w:r>
    </w:p>
    <w:p>
      <w:pPr>
        <w:pStyle w:val="Heading2"/>
      </w:pPr>
      <w:r>
        <w:t>Klima und Impfung als Determinanten für Durchfall-Morbidität in afrikanischen Ländern</w:t>
      </w:r>
    </w:p>
    <w:p>
      <w:r>
        <w:rPr>
          <w:i/>
          <w:color w:val="666666"/>
          <w:sz w:val="18"/>
        </w:rPr>
        <w:t>Kowalcyk M et al.  ·  Nat Commun  ·  06.08.2026  ·  PMID 42693103</w:t>
      </w:r>
    </w:p>
    <w:p>
      <w:r>
        <w:t>Sekundäranalyse der Global Enteric Multicenter Study (GEMS) und VIDA-Studie zur Rolle von Klima und sozioökonomischen Vulnerabilitätsfaktoren bei der Vorhersage pathogenspezifischer Durchfall-Erkrankungen bei Kindern in Gambia, Kenia und Mali.</w:t>
      </w:r>
    </w:p>
    <w:p>
      <w:r>
        <w:rPr>
          <w:b/>
        </w:rPr>
        <w:t xml:space="preserve">Ergebnis: </w:t>
      </w:r>
      <w:r>
        <w:t>Soziodemografische Vulnerabilität (Transport-, Fernseh-, Stromzugang) und Rotavirus-Impfeinführung modifizierten die Assoziation zwischen Wetter und moderatem-schwerem Durchfall. Diese Modifikationen waren standort- und pathogenspezifisch. Bevölkerungszahl war stärkster Prädiktor (SHAP mean absolute 0,167 für Inzidenz). Die Studie zeigt, dass Vulnerabilitätsfaktoren mit variable pathogenspezifischen Erkrankungsrisiken korreliert sind.</w:t>
      </w:r>
    </w:p>
    <w:p>
      <w:r>
        <w:rPr>
          <w:b/>
          <w:sz w:val="19"/>
        </w:rPr>
        <w:t xml:space="preserve">Übertragbarkeit: </w:t>
      </w:r>
      <w:r>
        <w:rPr>
          <w:sz w:val="19"/>
        </w:rPr>
        <w:t>Afrika; Vulnerabilität und Impfprogramme, Versorgungsforschung in ressourcenlimitierten Settings</w:t>
      </w:r>
    </w:p>
    <w:p>
      <w:r>
        <w:rPr>
          <w:color w:val="5A7D3A"/>
          <w:sz w:val="18"/>
        </w:rPr>
        <w:t>https://pubmed.ncbi.nlm.nih.gov/42693103/</w:t>
      </w:r>
    </w:p>
    <w:p>
      <w:pPr>
        <w:pStyle w:val="Heading2"/>
      </w:pPr>
      <w:r>
        <w:t>Barrieren und Beförderer der HPV-Impfakzeptanz in Pakistan vor Programmstart</w:t>
      </w:r>
    </w:p>
    <w:p>
      <w:r>
        <w:rPr>
          <w:i/>
          <w:color w:val="666666"/>
          <w:sz w:val="18"/>
        </w:rPr>
        <w:t>Noreen K et al.  ·  Hum Vaccin Immunother  ·  03.09.2026  ·  PMID 42692950</w:t>
      </w:r>
    </w:p>
    <w:p>
      <w:r>
        <w:t>Qualitative Studie mit Fokusgruppen und Interviews bei Community Worker, Gesundheitspersonal, Lehrkräften, Mädchen und Eltern zur Erfassung von Hemmnissen und Förderungsfaktoren der HPV-Impfakzeptanz vor dem ersten nationalen HPV-Impfprogramm in Pakistan.</w:t>
      </w:r>
    </w:p>
    <w:p>
      <w:r>
        <w:rPr>
          <w:b/>
        </w:rPr>
        <w:t xml:space="preserve">Ergebnis: </w:t>
      </w:r>
      <w:r>
        <w:t>Barrieren: Furcht vor Nebenwirkungen, Impfskepsis, Fehlinformation über soziale Medien, religiöse Wahrnehmungen, patriarchale Entscheidungsfindung, Wartezeitprobleme, Widerstand in der Gemeinde. Beförderer: Erkenntnis des Impfnutzens, unterstützende Familie und Gemeinschaftsnormen, Gesundheitsfachleute-Beratung, religiöse Argumente, aufsuchende Dienste und Vertrauenspersonen wie Schulleitung. Die Befunde unterstreichen Bedarf für kulturell sensible, vertrauensaufbauende Strategien über klinischen Ansatz hinaus.</w:t>
      </w:r>
    </w:p>
    <w:p>
      <w:r>
        <w:rPr>
          <w:b/>
          <w:sz w:val="19"/>
        </w:rPr>
        <w:t xml:space="preserve">Übertragbarkeit: </w:t>
      </w:r>
      <w:r>
        <w:rPr>
          <w:sz w:val="19"/>
        </w:rPr>
        <w:t>Pakistan; Implementierungsforschung für Programmstart nötig, nicht direkt auf Deutschland übertragbar</w:t>
      </w:r>
    </w:p>
    <w:p>
      <w:r>
        <w:rPr>
          <w:color w:val="5A7D3A"/>
          <w:sz w:val="18"/>
        </w:rPr>
        <w:t>https://pubmed.ncbi.nlm.nih.gov/42692950/</w:t>
      </w:r>
    </w:p>
    <w:p>
      <w:pPr>
        <w:pStyle w:val="Heading2"/>
      </w:pPr>
      <w:r>
        <w:t>Monitoring von Impfabbrüchen: Effekt auf Durchimpfungsquoten im ländlichen Südsudan</w:t>
      </w:r>
    </w:p>
    <w:p>
      <w:r>
        <w:rPr>
          <w:i/>
          <w:color w:val="666666"/>
          <w:sz w:val="18"/>
        </w:rPr>
        <w:t>Igga DOM et al.  ·  PLoS One  ·  03.09.2026  ·  PMID 42691046</w:t>
      </w:r>
    </w:p>
    <w:p>
      <w:r>
        <w:t>Prospektive Kohortenstudie über drei Monate in 14 Gesundheitseinrichtungen im Maridi County (Südsudan) zur Wirksamkeit von Monitoring-Mechanismen zur Reduzierung von Impfausfällen bei Säuglingen und Kleinkindern.</w:t>
      </w:r>
    </w:p>
    <w:p>
      <w:r>
        <w:rPr>
          <w:b/>
        </w:rPr>
        <w:t xml:space="preserve">Ergebnis: </w:t>
      </w:r>
      <w:r>
        <w:t>Einrichtungen mit aktualisierten Monitoring-Charts hatten signifikant niedrigere Ausfallquoten (Spearman r = -0,725, p = 0,003). Boma Health Worker (Community-Helfer zur Verfolgung ausstehender Impfungen) waren in 64 % der Einrichtungen präsent; 91,7 % der Einrichtungen mit niedrigen Ausfallquoten hatten Helfer, gegenüber 37,5 % mit hohen Ausfallquoten. Kombinierte Facility- und Community-basierte Monitoring-Mechanismen zeigten komplementären Effekt. Ausfallquoten über 10 % sanken über drei Monate um 9,6 Prozentpunkte.</w:t>
      </w:r>
    </w:p>
    <w:p>
      <w:r>
        <w:rPr>
          <w:b/>
          <w:sz w:val="19"/>
        </w:rPr>
        <w:t xml:space="preserve">Übertragbarkeit: </w:t>
      </w:r>
      <w:r>
        <w:rPr>
          <w:sz w:val="19"/>
        </w:rPr>
        <w:t>Südsudan; Monitoring-Muster auch für Deutschland relevant, aber Gesundheitssystem-Kontext verschieden</w:t>
      </w:r>
    </w:p>
    <w:p>
      <w:r>
        <w:rPr>
          <w:color w:val="5A7D3A"/>
          <w:sz w:val="18"/>
        </w:rPr>
        <w:t>https://pubmed.ncbi.nlm.nih.gov/42691046/</w:t>
      </w:r>
    </w:p>
    <w:p>
      <w:pPr>
        <w:pStyle w:val="Heading2"/>
      </w:pPr>
      <w:r>
        <w:t>Quoten bei Jugendlichen-Impfung USA 2025: HPV stagniert, Tdap und MenACWY leicht gesunken</w:t>
      </w:r>
    </w:p>
    <w:p>
      <w:r>
        <w:rPr>
          <w:i/>
          <w:color w:val="666666"/>
          <w:sz w:val="18"/>
        </w:rPr>
        <w:t>Pingali C et al.  ·  MMWR Morb Mortal Wkly Rep  ·  03.09.2026  ·  PMID 42691006</w:t>
      </w:r>
    </w:p>
    <w:p>
      <w:r>
        <w:t>Analyse der 2025 National Immunization Survey-Teen für 18.692 Adoleszente (13–17 Jahre) zur Erfassung von Trends bei Tetanus-Diptherie-Pertussis (Tdap), Meningokokken- und HPV-Impfquoten in den USA.</w:t>
      </w:r>
    </w:p>
    <w:p>
      <w:r>
        <w:rPr>
          <w:b/>
        </w:rPr>
        <w:t xml:space="preserve">Ergebnis: </w:t>
      </w:r>
      <w:r>
        <w:t>Tdap und MenACWY 2025 zu ca. 90 %, leicht gesunken gegenüber 2024. HPV-Impfquoten (≥1 Dosis und Serie-Vollständigkeit) stiegen zum vierten Jahr nicht an und blieben deutlich unter Tdap/MenACWY. HPV-Quote in ländlich geprägten Gebieten 12,0 Prozentpunkte niedriger als in städtischen Gegenden. Größte Variation zwischen Bundesländern bei HPV. Geografische und regionale Disparitäten persistent.</w:t>
      </w:r>
    </w:p>
    <w:p>
      <w:r>
        <w:rPr>
          <w:b/>
          <w:sz w:val="19"/>
        </w:rPr>
        <w:t xml:space="preserve">Übertragbarkeit: </w:t>
      </w:r>
      <w:r>
        <w:rPr>
          <w:sz w:val="19"/>
        </w:rPr>
        <w:t>USA; Quoten nicht direkt übertragbar, aber Disparitätsmuster ländlich/urban ähnlich Deutschland</w:t>
      </w:r>
    </w:p>
    <w:p>
      <w:r>
        <w:rPr>
          <w:color w:val="5A7D3A"/>
          <w:sz w:val="18"/>
        </w:rPr>
        <w:t>https://pubmed.ncbi.nlm.nih.gov/42691006/</w:t>
      </w:r>
    </w:p>
    <w:p>
      <w:pPr>
        <w:pStyle w:val="Heading2"/>
      </w:pPr>
      <w:r>
        <w:t>Impfassoziierte Belastung: Implementierung canadischer Leitlinien in Niederländisches Impfprogramm</w:t>
      </w:r>
    </w:p>
    <w:p>
      <w:r>
        <w:rPr>
          <w:i/>
          <w:color w:val="666666"/>
          <w:sz w:val="18"/>
        </w:rPr>
        <w:t>Huijten DCM et al.  ·  Clin J Pain  ·  01.08.2026  ·  PMID 42444177</w:t>
      </w:r>
    </w:p>
    <w:p>
      <w:r>
        <w:t>Erfahrungsbericht zur kulturellen Anpassung des CARD-Systems (Comfort-Ask-Relax-Distract) aus Kanada für das Niederländische Nationale Impfprogramm, um impfassoziierte Stress-Reaktionen (Schmerz, Nadelangst) zu reduzieren und Quote zu erhöhen.</w:t>
      </w:r>
    </w:p>
    <w:p>
      <w:r>
        <w:rPr>
          <w:b/>
        </w:rPr>
        <w:t xml:space="preserve">Ergebnis: </w:t>
      </w:r>
      <w:r>
        <w:t>Der CARD-Multikomponenten-Ansatz kombiniert Edukation mit mehreren Interventionen zur Stressreduktion (prozessual, physisch, pharmakologisch, psychologisch). Systematische Anpassung mittels EPIS-Rahmenwerk (Exploration-Preparation-Implementation-Sustainment) wurde durchgeführt. Das Konzept zeigt, dass Effektivität in einem Kontext (Kanada) nicht automatisch in anderem (Niederlande) funktioniert. Pilotstudie im niederländischen Kontext geplant.</w:t>
      </w:r>
    </w:p>
    <w:p>
      <w:r>
        <w:rPr>
          <w:b/>
          <w:sz w:val="19"/>
        </w:rPr>
        <w:t xml:space="preserve">Übertragbarkeit: </w:t>
      </w:r>
      <w:r>
        <w:rPr>
          <w:sz w:val="19"/>
        </w:rPr>
        <w:t>Niederlande, vergleichbares Impfprogramm; übertragbar auf Deutsche Impfkompetenz-Schulung</w:t>
      </w:r>
    </w:p>
    <w:p>
      <w:r>
        <w:rPr>
          <w:color w:val="5A7D3A"/>
          <w:sz w:val="18"/>
        </w:rPr>
        <w:t>https://pubmed.ncbi.nlm.nih.gov/42444177/</w:t>
      </w:r>
    </w:p>
    <w:p>
      <w:pPr>
        <w:pStyle w:val="Heading1"/>
      </w:pPr>
      <w:r>
        <w:t>Aufgenommen am 04.09.2026</w:t>
      </w:r>
    </w:p>
    <w:p>
      <w:pPr>
        <w:pStyle w:val="Heading2"/>
      </w:pPr>
      <w:r>
        <w:t>HPV-Impfbewusstsein in indigenen Gemeinschaften Kanadas niedrig</w:t>
      </w:r>
    </w:p>
    <w:p>
      <w:r>
        <w:rPr>
          <w:i/>
          <w:color w:val="666666"/>
          <w:sz w:val="18"/>
        </w:rPr>
        <w:t>Omidimorad A et al.  ·  PLoS One  ·  03.09.2026  ·  PMID 42691150</w:t>
      </w:r>
    </w:p>
    <w:p>
      <w:r>
        <w:t>Community-based participatory research in 11 indigenen Gemeinschaften der Northwest Territories (Kanada, n=221 Erwachsene ≥18 Jahre): Quantitative und qualitative Befragung zu HPV- und HPV-Impfbewusstsein; Multiple logistische Regression und thematische Analyse zu Nicht-Impfungs-Gründen.</w:t>
      </w:r>
    </w:p>
    <w:p>
      <w:r>
        <w:rPr>
          <w:b/>
        </w:rPr>
        <w:t xml:space="preserve">Ergebnis: </w:t>
      </w:r>
      <w:r>
        <w:t>Etwa 50% hatten von HPV gehört, &lt;1/3 von HPV-Impfstoff. Bildung signifikant assoziiert: Niedrigere Bildung → niedrigeres HPV-Bewusstsein (p&lt;0,001). Alter, Geschlecht, Bildung prädizieren Impfstoff-Bewusstsein (Frauen, höhere Bildung, jünger: höher). Nur 26,3% der Geimpften ≤26 Jahre. Qualitativ: Mangelndes Wissen und unzureichende Information sind Hauptbarrieren.</w:t>
      </w:r>
    </w:p>
    <w:p>
      <w:r>
        <w:rPr>
          <w:b/>
          <w:sz w:val="19"/>
        </w:rPr>
        <w:t xml:space="preserve">Übertragbarkeit: </w:t>
      </w:r>
      <w:r>
        <w:rPr>
          <w:sz w:val="19"/>
        </w:rPr>
        <w:t>Kanada, indigene Populations-spezifik; Lessons für deutsche Gesundheitsungleichheit relevant.</w:t>
      </w:r>
    </w:p>
    <w:p>
      <w:r>
        <w:rPr>
          <w:color w:val="5A7D3A"/>
          <w:sz w:val="18"/>
        </w:rPr>
        <w:t>https://pubmed.ncbi.nlm.nih.gov/42691150/</w:t>
      </w:r>
    </w:p>
    <w:p>
      <w:pPr>
        <w:pStyle w:val="Heading2"/>
      </w:pPr>
      <w:r>
        <w:t>Peer-Education durch Medizinstudierende steigert HPV-Impfwissen bei japanischen Jugendlichen</w:t>
      </w:r>
    </w:p>
    <w:p>
      <w:r>
        <w:rPr>
          <w:i/>
          <w:color w:val="666666"/>
          <w:sz w:val="18"/>
        </w:rPr>
        <w:t>Nakajima K et al.  ·  Hum Vaccin Immunother  ·  02.09.2026  ·  PMID 42687414</w:t>
      </w:r>
    </w:p>
    <w:p>
      <w:r>
        <w:t>Explorative Interventionsstudie (Feb 2022–März 2024): Medizinstudierende gaben 1-Stunden-Schulungen zu HPV-Transmission, Gebärmutterhalskrebs-Prävention und Impfwirksamkeit in japanischen Schulen; Folgeerhebung 1–2 Wochen später zu Wissen, Haltung und Impfverhalten.</w:t>
      </w:r>
    </w:p>
    <w:p>
      <w:r>
        <w:rPr>
          <w:b/>
        </w:rPr>
        <w:t xml:space="preserve">Ergebnis: </w:t>
      </w:r>
      <w:r>
        <w:t>864 Schüler teilgenommen, 332 gefolgt. Von 248 Ungeimpften vor Session: 10 Mädchen (7,5%) und 1 Junge (0,9%) erhielten HPV-Impfung innerhalb von 2 Wochen. Schüler mit positiver Impfabsicht zeigten höhere Verständnis-Scores. Geimpfte identifizierten HPV-verhinderbare Krebsarten häufiger korrekt.</w:t>
      </w:r>
    </w:p>
    <w:p>
      <w:r>
        <w:rPr>
          <w:b/>
          <w:sz w:val="19"/>
        </w:rPr>
        <w:t xml:space="preserve">Übertragbarkeit: </w:t>
      </w:r>
      <w:r>
        <w:rPr>
          <w:sz w:val="19"/>
        </w:rPr>
        <w:t>Japan-Daten; Near-Peer-Modell könnte für deutsches Schulimpf-Setting adaptierbar sein.</w:t>
      </w:r>
    </w:p>
    <w:p>
      <w:r>
        <w:rPr>
          <w:color w:val="5A7D3A"/>
          <w:sz w:val="18"/>
        </w:rPr>
        <w:t>https://pubmed.ncbi.nlm.nih.gov/42687414/</w:t>
      </w:r>
    </w:p>
    <w:p>
      <w:pPr>
        <w:pStyle w:val="Heading2"/>
      </w:pPr>
      <w:r>
        <w:t>HPV-Impfbereitschaft bei Eltern in ethnischen Autonomie-Bezirken Chinas</w:t>
      </w:r>
    </w:p>
    <w:p>
      <w:r>
        <w:rPr>
          <w:i/>
          <w:color w:val="666666"/>
          <w:sz w:val="18"/>
        </w:rPr>
        <w:t>Li X et al.  ·  Hum Vaccin Immunother  ·  01.09.2026  ·  PMID 42678389</w:t>
      </w:r>
    </w:p>
    <w:p>
      <w:r>
        <w:t>Querschnittsbefragung in Qinghai-Provinz (Dezember 2024–Februar 2025): Erziehungsberechtigte von Schulkindern zu HPV-Impfbereitschaft; Theorien: Health Belief Model und Theory of Planned Behavior (TPB); Hierarchische Regressionsmodelle.</w:t>
      </w:r>
    </w:p>
    <w:p>
      <w:r>
        <w:rPr>
          <w:b/>
        </w:rPr>
        <w:t xml:space="preserve">Ergebnis: </w:t>
      </w:r>
      <w:r>
        <w:t>Hui-Ethnie vs. Han-Ethnie: niedrigere Impfbereitschaft (B=−0,229, p=0,003). Positive Assoziationen mit: Aktionsimpulsen (β=0,121), wahrgenommenen Barrieren (β=0,128), Einstellungen (β=0,203), wahrgenommenem Verhaltenskontrolle (β=0,107), Subjektiven Normen (β=0,323). Bildung und mittleres Einkommen prädizierten höhere Bereitschaft.</w:t>
      </w:r>
    </w:p>
    <w:p>
      <w:r>
        <w:rPr>
          <w:b/>
          <w:sz w:val="19"/>
        </w:rPr>
        <w:t xml:space="preserve">Übertragbarkeit: </w:t>
      </w:r>
      <w:r>
        <w:rPr>
          <w:sz w:val="19"/>
        </w:rPr>
        <w:t>China, kollektive Health-Literacy-Strukturen; Barrieren für deutsche Migrantengruppen vergleichbar.</w:t>
      </w:r>
    </w:p>
    <w:p>
      <w:r>
        <w:rPr>
          <w:color w:val="5A7D3A"/>
          <w:sz w:val="18"/>
        </w:rPr>
        <w:t>https://pubmed.ncbi.nlm.nih.gov/42678389/</w:t>
      </w:r>
    </w:p>
    <w:p>
      <w:pPr>
        <w:pStyle w:val="Heading2"/>
      </w:pPr>
      <w:r>
        <w:t>Geospatial mapping reveals Zero-Dose concentrations in low- und lower-middle-income countries</w:t>
      </w:r>
    </w:p>
    <w:p>
      <w:r>
        <w:rPr>
          <w:i/>
          <w:color w:val="666666"/>
          <w:sz w:val="18"/>
        </w:rPr>
        <w:t>Njogu AM et al.  ·  Vaccine  ·  30.08.2026  ·  PMID 42442083</w:t>
      </w:r>
    </w:p>
    <w:p>
      <w:r>
        <w:t>Scoping Review zu räumlichen Modellierungsmethoden für Impfquoten in Ländern mit niedrigem Einkommen: 102 Artikel analysiert, hauptsächlich zu Routineimpfungen; nur 19,6% zu Zero-Dose-Prävalenz.</w:t>
      </w:r>
    </w:p>
    <w:p>
      <w:r>
        <w:rPr>
          <w:b/>
        </w:rPr>
        <w:t xml:space="preserve">Ergebnis: </w:t>
      </w:r>
      <w:r>
        <w:t>70% der Studien stammen aus 2021-2024. Die meisten nutzen Befragungsdaten statt Routinedaten. Größte Defizite: uneinheitliche Zero-Dose-Definitionen, begrenzte Routinedaten-Nutzung, Unterrepräsentation marginalisierter Gruppen. Geospatiale Kartierung expandiert, aber explorativ statt präzise genug zum gezielten Targeting.</w:t>
      </w:r>
    </w:p>
    <w:p>
      <w:r>
        <w:rPr>
          <w:b/>
          <w:sz w:val="19"/>
        </w:rPr>
        <w:t xml:space="preserve">Übertragbarkeit: </w:t>
      </w:r>
      <w:r>
        <w:rPr>
          <w:sz w:val="19"/>
        </w:rPr>
        <w:t>Entwicklungsländer-Fokus; Erkenntnisse für deutsche Registerentwicklung nicht direkt übertragbar.</w:t>
      </w:r>
    </w:p>
    <w:p>
      <w:r>
        <w:rPr>
          <w:color w:val="5A7D3A"/>
          <w:sz w:val="18"/>
        </w:rPr>
        <w:t>https://pubmed.ncbi.nlm.nih.gov/42442083/</w:t>
      </w:r>
    </w:p>
    <w:p>
      <w:pPr>
        <w:pStyle w:val="Heading2"/>
      </w:pPr>
      <w:r>
        <w:t>Antikörperpersistenz nach Kinderimpfungen mit maternaler Tdap-Exposition</w:t>
      </w:r>
    </w:p>
    <w:p>
      <w:r>
        <w:rPr>
          <w:i/>
          <w:color w:val="666666"/>
          <w:sz w:val="18"/>
        </w:rPr>
        <w:t>De Weerdt L et al.  ·  Vaccine  ·  13.08.2026  ·  PMID 42430876</w:t>
      </w:r>
    </w:p>
    <w:p>
      <w:r>
        <w:t>Längsschnittstudie an belgischen Kindern (Term und Frühgeborene) zu Antikörperpersistenz nach sechsvalenter DTaP-IPV-HB-PRP-Impfung und Antwort auf Auffrischung im Schulalter; Maternale Tdap-Impfung während Schwangerschaft als Exposition.</w:t>
      </w:r>
    </w:p>
    <w:p>
      <w:r>
        <w:rPr>
          <w:b/>
        </w:rPr>
        <w:t xml:space="preserve">Ergebnis: </w:t>
      </w:r>
      <w:r>
        <w:t>128 Kinder bei 3 Jahren, 106 bei 5 Jahren, 94 mit Schulauffrischung. Antikörperspiegel sanken zwischen Jahr 3 und 5, Schutzraten blieben hoch (außer Anti-HB: sinkend). Nach Auffrischung: 100% Seroschutz für Diphtherie/Tetanus/Polio Typ 1, ≥96% für Polio Typ 2+3, ≥93% Pertussis-Serokonversion. Maternale Tdap-Strategie wird gestützt.</w:t>
      </w:r>
    </w:p>
    <w:p>
      <w:r>
        <w:rPr>
          <w:b/>
          <w:sz w:val="19"/>
        </w:rPr>
        <w:t xml:space="preserve">Übertragbarkeit: </w:t>
      </w:r>
      <w:r>
        <w:rPr>
          <w:sz w:val="19"/>
        </w:rPr>
        <w:t>Belgien, vergleichbares Versicherungssystem; Impfkalender-Struktur ähnlich.</w:t>
      </w:r>
    </w:p>
    <w:p>
      <w:r>
        <w:rPr>
          <w:color w:val="5A7D3A"/>
          <w:sz w:val="18"/>
        </w:rPr>
        <w:t>https://pubmed.ncbi.nlm.nih.gov/42430876/</w:t>
      </w:r>
    </w:p>
    <w:p>
      <w:pPr>
        <w:pStyle w:val="Heading2"/>
      </w:pPr>
      <w:r>
        <w:t>COVID-19-Impfakzeptanz variiert nach Herkunftsregion in Schweden</w:t>
      </w:r>
    </w:p>
    <w:p>
      <w:r>
        <w:rPr>
          <w:i/>
          <w:color w:val="666666"/>
          <w:sz w:val="18"/>
        </w:rPr>
        <w:t>Hassan M et al.  ·  Front Public Health  ·  24.06.2026  ·  PMID 42422674</w:t>
      </w:r>
    </w:p>
    <w:p>
      <w:r>
        <w:t>Querschnittsbefragung in Schweden (n=3.281) zur COVID-19-Impfbereitschaft stratifiziert nach Geburtsregion: Schweden, Westländer, Nicht-Westländer. Sechs Domänen (Vertrauensdomänen, Normen, Erreichbarkeit) gemessen.</w:t>
      </w:r>
    </w:p>
    <w:p>
      <w:r>
        <w:rPr>
          <w:b/>
        </w:rPr>
        <w:t xml:space="preserve">Ergebnis: </w:t>
      </w:r>
      <w:r>
        <w:t>Geimpfte aus Schweden und Westländern hatten 9,5 bzw. 8,9 Punkte höhere Akzeptanzscores als Ungeimpfte; bei Nicht-Westländern nur 2,8 Punkte Unterschied. Bei Schweden/Westländern: ‚Deskriptive Normen' und ‚Vertrauen in Impfstoffe' stärkste Prädiktoren (OR 2,5–3,6). Bei Nicht-Westländern nur ‚Vertrauen' und ‚Nutzen-Risiko' relevant (OR 1,6–1,7).</w:t>
      </w:r>
    </w:p>
    <w:p>
      <w:r>
        <w:rPr>
          <w:b/>
          <w:sz w:val="19"/>
        </w:rPr>
        <w:t xml:space="preserve">Übertragbarkeit: </w:t>
      </w:r>
      <w:r>
        <w:rPr>
          <w:sz w:val="19"/>
        </w:rPr>
        <w:t>Skandinavien, Public-Health-System ähnlich; zeigt Defizit bei Migranten-Outreach.</w:t>
      </w:r>
    </w:p>
    <w:p>
      <w:r>
        <w:rPr>
          <w:color w:val="5A7D3A"/>
          <w:sz w:val="18"/>
        </w:rPr>
        <w:t>https://pubmed.ncbi.nlm.nih.gov/42422674/</w:t>
      </w:r>
    </w:p>
    <w:p>
      <w:pPr>
        <w:pStyle w:val="Heading1"/>
      </w:pPr>
      <w:r>
        <w:t>Aufgenommen am 03.09.2026</w:t>
      </w:r>
    </w:p>
    <w:p>
      <w:pPr>
        <w:pStyle w:val="Heading2"/>
      </w:pPr>
      <w:r>
        <w:t>Grippeimpf-Bewusstsein und -Quote bei Frauen im gebärfähigen Alter in Shanghai</w:t>
      </w:r>
    </w:p>
    <w:p>
      <w:r>
        <w:rPr>
          <w:i/>
          <w:color w:val="666666"/>
          <w:sz w:val="18"/>
        </w:rPr>
        <w:t>Liu P et al.  ·  Hum Vaccin Immunother  ·  16.07.2026  ·  PMID 42684141</w:t>
      </w:r>
    </w:p>
    <w:p>
      <w:r>
        <w:t>Bevölkerungsbasierte Querschnittsstudie zur Impfbereitschaft gegen Influenza bei Frauen im Alter von 15–49 Jahren in Shanghai (Pudong), einschließlich Schwangerenszenarien.</w:t>
      </w:r>
    </w:p>
    <w:p>
      <w:r>
        <w:rPr>
          <w:b/>
        </w:rPr>
        <w:t xml:space="preserve">Ergebnis: </w:t>
      </w:r>
      <w:r>
        <w:t>Wissenswert: 60,61 % zu Influenza, 56,46 % zu Grippeimpfstoff. Gesundheitsberufe hatten höchste Kompetenz. Bei hypothetischer Schwangerschaft: Injektionspräferenz fiel von 41,25 % auf 13,31 %, Nasenspray stieg von 10,60 % auf 23,17 %, Ablehnung von 10,19 % auf 35,58 %. Schwangere bevorzugten Nasenspray (41,67 %). 87,63 % würden Empfehlungen von Frauenärzten folgen.</w:t>
      </w:r>
    </w:p>
    <w:p>
      <w:r>
        <w:rPr>
          <w:b/>
          <w:sz w:val="19"/>
        </w:rPr>
        <w:t xml:space="preserve">Übertragbarkeit: </w:t>
      </w:r>
      <w:r>
        <w:rPr>
          <w:sz w:val="19"/>
        </w:rPr>
        <w:t>China, aber zeigt Muster zur Impfentscheidung in Schwangerschaft anwendbar auf deutsche Kommunikation</w:t>
      </w:r>
    </w:p>
    <w:p>
      <w:r>
        <w:rPr>
          <w:color w:val="5A7D3A"/>
          <w:sz w:val="18"/>
        </w:rPr>
        <w:t>https://pubmed.ncbi.nlm.nih.gov/42684141/</w:t>
      </w:r>
    </w:p>
    <w:p>
      <w:pPr>
        <w:pStyle w:val="Heading2"/>
      </w:pPr>
      <w:r>
        <w:t>Influenza-Impfquoten bei Ärztinnen und Pflegekräften: Deutschland und China im Vergleich</w:t>
      </w:r>
    </w:p>
    <w:p>
      <w:r>
        <w:rPr>
          <w:i/>
          <w:color w:val="666666"/>
          <w:sz w:val="18"/>
        </w:rPr>
        <w:t>Sanftenberg L et al.  ·  BMC Public Health  ·  01.09.2026  ·  PMID 42681616</w:t>
      </w:r>
    </w:p>
    <w:p>
      <w:r>
        <w:t>Vergleichende Querschnittsstudie zu psychologischen und strukturellen Barrieren für die Grippeimpfung bei Gesundheitspersonal in Deutschland (8.351 Arbeitskräfte, 72 Krankenhäuser) und China (689 Arbeitskräfte, 9 Krankenhäuser) 2024–2025.</w:t>
      </w:r>
    </w:p>
    <w:p>
      <w:r>
        <w:rPr>
          <w:b/>
        </w:rPr>
        <w:t xml:space="preserve">Ergebnis: </w:t>
      </w:r>
      <w:r>
        <w:t>Deutsche Ärzte: 80,9 % geimpft, deutsche Pflegekräfte 48,7 %; chinesische Ärzte: 28,8 %, chinesische Pflegekräfte 32,2 %. Vertrauen und Eigenverantwortung waren wichtige Treiber in beiden Ländern. Deutsche Profis nannten individuelle Gründe für Ablehnung, chinesische hingegen Hürden in der Einrichtung (Zeitmangel). Effektive Interventionen: kostenlose Impfung, Bildung, organisatorische Maßnahmen.</w:t>
      </w:r>
    </w:p>
    <w:p>
      <w:r>
        <w:rPr>
          <w:b/>
          <w:sz w:val="19"/>
        </w:rPr>
        <w:t xml:space="preserve">Übertragbarkeit: </w:t>
      </w:r>
      <w:r>
        <w:rPr>
          <w:sz w:val="19"/>
        </w:rPr>
        <w:t>Deutsche Klinikdaten, vergleichbares Versicherungssystem und Gesundheitsberuferegeln</w:t>
      </w:r>
    </w:p>
    <w:p>
      <w:r>
        <w:rPr>
          <w:color w:val="5A7D3A"/>
          <w:sz w:val="18"/>
        </w:rPr>
        <w:t>https://pubmed.ncbi.nlm.nih.gov/42681616/</w:t>
      </w:r>
    </w:p>
    <w:p>
      <w:pPr>
        <w:pStyle w:val="Heading2"/>
      </w:pPr>
      <w:r>
        <w:t>COVID-19-Impfung bei fortgeschrittenem Lungenkarzinom und Immuntherapie: Real-World-Daten aus Rumänien</w:t>
      </w:r>
    </w:p>
    <w:p>
      <w:r>
        <w:rPr>
          <w:i/>
          <w:color w:val="666666"/>
          <w:sz w:val="18"/>
        </w:rPr>
        <w:t>Gheorghiță V et al.  ·  Medicina (Kaunas)  ·  18.08.2026  ·  PMID 42654486</w:t>
      </w:r>
    </w:p>
    <w:p>
      <w:r>
        <w:t>Retrospektive Kohortenstudie an 139 Patienten mit Stadium-IV-Nicht-Kleinzellkarzinom, die Immun-Checkpoint-Inhibitoren erhielten, stratifiziert nach COVID-19-Impfstatus (0–1 vs. ≥2 Dosen).</w:t>
      </w:r>
    </w:p>
    <w:p>
      <w:r>
        <w:rPr>
          <w:b/>
        </w:rPr>
        <w:t xml:space="preserve">Ergebnis: </w:t>
      </w:r>
      <w:r>
        <w:t>Geimpfte Patienten: längeres progressionsfreies Überleben (13,0 vs. 11,0 Monate) und Gesamtüberleben (29,0 vs. 24,0 Monate; beide p&lt;0,001). Nach Multivariablenkalibrierung abgeschwächt, aber Grenzwertbereich (OS HR=0,83; PFS HR=0,79). ≥2 Dosen assoziiert mit besseren Ergebnissen (PFS 14,0 vs. 12,0 Monate, OS 30,0 vs. 24,0 Monate). Höhere Odds für Grad-1/2-Toxizität mit ≥2 Dosen (OR=2,47, p=0,037), aber keine Grade-4/5-Ereignisse.</w:t>
      </w:r>
    </w:p>
    <w:p>
      <w:r>
        <w:rPr>
          <w:b/>
          <w:sz w:val="19"/>
        </w:rPr>
        <w:t xml:space="preserve">Übertragbarkeit: </w:t>
      </w:r>
      <w:r>
        <w:rPr>
          <w:sz w:val="19"/>
        </w:rPr>
        <w:t>Rumänien, aber Sicherheit in vulnerabler Patientengruppe mit Immuntherapie untersucht</w:t>
      </w:r>
    </w:p>
    <w:p>
      <w:r>
        <w:rPr>
          <w:color w:val="5A7D3A"/>
          <w:sz w:val="18"/>
        </w:rPr>
        <w:t>https://pubmed.ncbi.nlm.nih.gov/42654486/</w:t>
      </w:r>
    </w:p>
    <w:p>
      <w:pPr>
        <w:pStyle w:val="Heading2"/>
      </w:pPr>
      <w:r>
        <w:t>Jennerian-Vakzination in Europa (1799–1810): Transnational verbreitete Arznei und Wissen</w:t>
      </w:r>
    </w:p>
    <w:p>
      <w:r>
        <w:rPr>
          <w:i/>
          <w:color w:val="666666"/>
          <w:sz w:val="18"/>
        </w:rPr>
        <w:t>Tuells J  ·  Vaccine  ·  17.09.2026  ·  PMID 42600246</w:t>
      </w:r>
    </w:p>
    <w:p>
      <w:r>
        <w:t>Historische Studie zur frühen Verbreitung der Kuhpockenvakzination in Europa durch ein Netzwerk von Ärzten, anhand von Korrespondenz und Materialflüssen zwischen London, Wien und Genf.</w:t>
      </w:r>
    </w:p>
    <w:p>
      <w:r>
        <w:rPr>
          <w:b/>
        </w:rPr>
        <w:t xml:space="preserve">Ergebnis: </w:t>
      </w:r>
      <w:r>
        <w:t>Jean de Carro, ein Genfer Arzt in Wien, fungierte als Vermittler für die Verbreitung von Vakzinationswissen und Impfstoff-Lymphe. Das Netzwerk ermöglichte die rasche Ausbreitung von 1799 bis 1810 in Richtung Ottomanisches Reich und Indien. Vakzination verbreitete sich nicht allein durch staatliche Kampagnen, sondern durch transnationale ärztliche Netzwerke.</w:t>
      </w:r>
    </w:p>
    <w:p>
      <w:r>
        <w:rPr>
          <w:b/>
          <w:sz w:val="19"/>
        </w:rPr>
        <w:t xml:space="preserve">Übertragbarkeit: </w:t>
      </w:r>
      <w:r>
        <w:rPr>
          <w:sz w:val="19"/>
        </w:rPr>
        <w:t>Historische Perspektive auf Vakzinationsverbreitung durch Netzwerke und persönliche Verbindungen</w:t>
      </w:r>
    </w:p>
    <w:p>
      <w:r>
        <w:rPr>
          <w:color w:val="5A7D3A"/>
          <w:sz w:val="18"/>
        </w:rPr>
        <w:t>https://pubmed.ncbi.nlm.nih.gov/42600246/</w:t>
      </w:r>
    </w:p>
    <w:p>
      <w:pPr>
        <w:pStyle w:val="Heading2"/>
      </w:pPr>
      <w:r>
        <w:t>Mütterliche Sechsfach-Streptococcus-B-Impfung: Phase-1/2-Studie bei nicht-schwangeren und schwangeren Frauen</w:t>
      </w:r>
    </w:p>
    <w:p>
      <w:r>
        <w:rPr>
          <w:i/>
          <w:color w:val="666666"/>
          <w:sz w:val="18"/>
        </w:rPr>
        <w:t>Madhi SA et al.  ·  Nat Med  ·  28.07.2026  ·  PMID 42521820</w:t>
      </w:r>
    </w:p>
    <w:p>
      <w:r>
        <w:t>Randomisierte Phase-1/2-Studie zur Sicherheit, Verträglichkeit und Immunogenität einer hexavalenten Polysaccharid-Protein-Konjugat-GBS-Vakzine (GBS6) in nicht-schwangeren Frauen und schwangeren Frauen sowie deren Neugeborenen.</w:t>
      </w:r>
    </w:p>
    <w:p>
      <w:r>
        <w:rPr>
          <w:b/>
        </w:rPr>
        <w:t xml:space="preserve">Ergebnis: </w:t>
      </w:r>
      <w:r>
        <w:t>Stadium 1 (n=66 nicht-schwanger): GBS6, GBS6+AlPO4 oder Placebo. Subgruppe erhielt Booster ~2 Jahre später. Stadium 3 (n=216 schwanger, 209 Neugeborene): GBS6 oder Placebo (Woche 24–36 Schwangerschaft). Fast alle Reaktogenizität-Ereignisse mild oder moderat. SAE/MAE ähnlich zwischen GBS6 und Placebo bei Müttern und Neugeborenen. GBS6 induzierte robuste Immunantworten; serotyp-spezifische Antikörper in Neugeborenen, deren Mütter GBS6 erhielten. Zwei neonatale Sepsis-Todesfälle (je einer in GBS6 und Placebo), keiner als vakzine-bedingt bewertet.</w:t>
      </w:r>
    </w:p>
    <w:p>
      <w:r>
        <w:rPr>
          <w:b/>
          <w:sz w:val="19"/>
        </w:rPr>
        <w:t xml:space="preserve">Übertragbarkeit: </w:t>
      </w:r>
      <w:r>
        <w:rPr>
          <w:sz w:val="19"/>
        </w:rPr>
        <w:t>Südafrika, USA, UK – erste klinische Daten zu maternaler GBS-Vakzination für neonatalen Schutz</w:t>
      </w:r>
    </w:p>
    <w:p>
      <w:r>
        <w:rPr>
          <w:color w:val="5A7D3A"/>
          <w:sz w:val="18"/>
        </w:rPr>
        <w:t>https://pubmed.ncbi.nlm.nih.gov/42521820/</w:t>
      </w:r>
    </w:p>
    <w:p>
      <w:pPr>
        <w:pStyle w:val="Heading2"/>
      </w:pPr>
      <w:r>
        <w:t>Hochdosis-Grippeimpfstoff in Spanien: Einführung, Anwendung und Evidenz</w:t>
      </w:r>
    </w:p>
    <w:p>
      <w:r>
        <w:rPr>
          <w:i/>
          <w:color w:val="666666"/>
          <w:sz w:val="18"/>
        </w:rPr>
        <w:t>Sanz-Muñoz I et al.  ·  Front Immunol  ·  30.06.2026  ·  PMID 42454050</w:t>
      </w:r>
    </w:p>
    <w:p>
      <w:r>
        <w:t>Narrative Synthese der klinischen Evidenz und Analyse von Vakzinierungsstrategien in spanischen autonomen Gemeinschaften seit Einführung von Hochdosis-Grippeimpfstoffen während der COVID-19-Pandemie.</w:t>
      </w:r>
    </w:p>
    <w:p>
      <w:r>
        <w:rPr>
          <w:b/>
        </w:rPr>
        <w:t xml:space="preserve">Ergebnis: </w:t>
      </w:r>
      <w:r>
        <w:t>Hochdosis-Grippeimpfstoffe zeigen überlegene Effektivität gegen schwere Influenza, Lungenentzündung und Mortalität bei Erwachsenen ≥60 Jahren in randomisierten Studien und Real-World-Daten. Heterogene regionale Aufnahme: manche Regionen priorisierten Institutionalisierte, andere erweiterten auf Community-Bewohner ≥60 Jahre. Trend zu breiter Adoption und Senkung des Altersgrenzwerts.</w:t>
      </w:r>
    </w:p>
    <w:p>
      <w:r>
        <w:rPr>
          <w:b/>
          <w:sz w:val="19"/>
        </w:rPr>
        <w:t xml:space="preserve">Übertragbarkeit: </w:t>
      </w:r>
      <w:r>
        <w:rPr>
          <w:sz w:val="19"/>
        </w:rPr>
        <w:t>Spanien, vergleichbare Gesundheitssysteme in Europa und Altersstruktur-Problematik</w:t>
      </w:r>
    </w:p>
    <w:p>
      <w:r>
        <w:rPr>
          <w:color w:val="5A7D3A"/>
          <w:sz w:val="18"/>
        </w:rPr>
        <w:t>https://pubmed.ncbi.nlm.nih.gov/42454050/</w:t>
      </w:r>
    </w:p>
    <w:p>
      <w:pPr>
        <w:pStyle w:val="Heading1"/>
      </w:pPr>
      <w:r>
        <w:t>Aufgenommen am 02.09.2026</w:t>
      </w:r>
    </w:p>
    <w:p>
      <w:pPr>
        <w:pStyle w:val="Heading2"/>
      </w:pPr>
      <w:r>
        <w:t>Grippeimpfstoff-Wirksamkeit gegen mild und schwer verlaufende Infektionen in Portugal</w:t>
      </w:r>
    </w:p>
    <w:p>
      <w:r>
        <w:rPr>
          <w:i/>
          <w:color w:val="666666"/>
          <w:sz w:val="18"/>
        </w:rPr>
        <w:t>Mourao F et al.  ·  Influenza Other Respir Viruses  ·  Sept. 2026  ·  PMID 42675936</w:t>
      </w:r>
    </w:p>
    <w:p>
      <w:r>
        <w:t>Testvergleichsstudie an 3.393 PCR-getesteten Patienten in Portugal (2015/16–2023/24) zur Grippeimpfstoff-Effektivität (IVE) gegen leichte und schwere Erkrankung.</w:t>
      </w:r>
    </w:p>
    <w:p>
      <w:r>
        <w:rPr>
          <w:b/>
        </w:rPr>
        <w:t xml:space="preserve">Ergebnis: </w:t>
      </w:r>
      <w:r>
        <w:t>IVE betrug 40,4 % (KI 22,7–54,0) bei ambulanten Patienten und 38,7 % (KI 17,6–54,5) bei hospitalisierten Fällen; Unterschied von 1,7 % war statistisch nicht signifikant (KI −22,0; 26,8). Keine relevanten Unterschiede in Subgruppen (≥65 Jahre, Komorbiditäten, Influenza-A-Subtypen). Impfstoff schützt über Versorgungssettings hinweg ähnlich gut.</w:t>
      </w:r>
    </w:p>
    <w:p>
      <w:r>
        <w:rPr>
          <w:b/>
          <w:sz w:val="19"/>
        </w:rPr>
        <w:t xml:space="preserve">Übertragbarkeit: </w:t>
      </w:r>
      <w:r>
        <w:rPr>
          <w:sz w:val="19"/>
        </w:rPr>
        <w:t>Portugal, EU-Nachbarland, Gesundheitssystem vergleichbar mit Deutschland</w:t>
      </w:r>
    </w:p>
    <w:p>
      <w:r>
        <w:rPr>
          <w:color w:val="5A7D3A"/>
          <w:sz w:val="18"/>
        </w:rPr>
        <w:t>https://pubmed.ncbi.nlm.nih.gov/42675936/</w:t>
      </w:r>
    </w:p>
    <w:p>
      <w:pPr>
        <w:pStyle w:val="Heading2"/>
      </w:pPr>
      <w:r>
        <w:t>HPV-Impfprogramme weltweit: Schulgebundenes Impfen erzielte höchste Quoten</w:t>
      </w:r>
    </w:p>
    <w:p>
      <w:r>
        <w:rPr>
          <w:i/>
          <w:color w:val="666666"/>
          <w:sz w:val="18"/>
        </w:rPr>
        <w:t>Kyei GK et al.  ·  J Nurs Scholarsh  ·  Sept. 2026  ·  PMID 42670010</w:t>
      </w:r>
    </w:p>
    <w:p>
      <w:r>
        <w:t>Qualitative Vergleichsanalyse von HPV-Impfrichtlinien in acht Ländern (Australien, Brasilien, Japan, Nigeria, Ruanda, Schweden, Großbritannien, USA) zur Identifikation von Einflussfaktoren auf Impfquoten.</w:t>
      </w:r>
    </w:p>
    <w:p>
      <w:r>
        <w:rPr>
          <w:b/>
        </w:rPr>
        <w:t xml:space="preserve">Ergebnis: </w:t>
      </w:r>
      <w:r>
        <w:t>Fünf Programmarchetypen identifiziert. Schulgebundene universelle Programme mit Pflegekräfte-Unterstützung erzielten höchste und gerechteste Abdeckung. Ruanda erreichte trotz Mädchen-fokussiertem, Donor-finanziertem Modell 98 % (Governance und Vertrauen überwogen Programmdesign). Transition zu Ein-Dosis-Impfung erfordert landesspezifische Anpassung.</w:t>
      </w:r>
    </w:p>
    <w:p>
      <w:r>
        <w:rPr>
          <w:b/>
          <w:sz w:val="19"/>
        </w:rPr>
        <w:t xml:space="preserve">Übertragbarkeit: </w:t>
      </w:r>
      <w:r>
        <w:rPr>
          <w:sz w:val="19"/>
        </w:rPr>
        <w:t>Programm-Vergleich, Strukturmerkmale übertragbar, insbesondere schulbasierte Systeme</w:t>
      </w:r>
    </w:p>
    <w:p>
      <w:r>
        <w:rPr>
          <w:color w:val="5A7D3A"/>
          <w:sz w:val="18"/>
        </w:rPr>
        <w:t>https://pubmed.ncbi.nlm.nih.gov/42670010/</w:t>
      </w:r>
    </w:p>
    <w:p>
      <w:pPr>
        <w:pStyle w:val="Heading2"/>
      </w:pPr>
      <w:r>
        <w:t>ChAdOx1 nCoV-19: Langzeitsicherheit bei 4.470 Probanden über 11,77 Monate</w:t>
      </w:r>
    </w:p>
    <w:p>
      <w:r>
        <w:rPr>
          <w:i/>
          <w:color w:val="666666"/>
          <w:sz w:val="18"/>
        </w:rPr>
        <w:t>Ebrahimi N et al.  ·  Vaccine  ·  13.08.2026  ·  PMID 42472497</w:t>
      </w:r>
    </w:p>
    <w:p>
      <w:r>
        <w:t>Prospektive Kohortenstudie von Probanden aus ChAdOx1-nCoV-19-Originalstudien mit follow-up September 2021–April 2022, Erfassung schwerwiegender unerwünschter Ereignisse (SAE) und Ereignisse von besonderem Interesse (AESI) nach Brighton-Collaboration-Definitionen.</w:t>
      </w:r>
    </w:p>
    <w:p>
      <w:r>
        <w:rPr>
          <w:b/>
        </w:rPr>
        <w:t xml:space="preserve">Ergebnis: </w:t>
      </w:r>
      <w:r>
        <w:t>4.470 Teilnehmer, 3.845 (86,0 %) Studienabschluss. Mediane Nachbeobachtung 11,77 Monate, 48.116 Personenmonate Gesamtnachbeobachtung. 174 SAE und 71 AESI (33 als beide registriert) bei 195 Teilnehmern, darunter 5 Todesfälle. Gesamtimmunglobulin-IgG gegen trimeres SARS-CoV-2-Spike-Protein zeigte Anstiegstendenz während Studie. Keine emergenten Sicherheitssignale; kontinuierliche Pharmakovigilanz bleibt essentiell, besonders für neurologische Störungen.</w:t>
      </w:r>
    </w:p>
    <w:p>
      <w:r>
        <w:rPr>
          <w:b/>
          <w:sz w:val="19"/>
        </w:rPr>
        <w:t xml:space="preserve">Übertragbarkeit: </w:t>
      </w:r>
      <w:r>
        <w:rPr>
          <w:sz w:val="19"/>
        </w:rPr>
        <w:t>Großbritannien, Oxford-Studie, NHS-basierte Kohortenverfolgung, vergleichbar mit deutschen Versorgungsdaten</w:t>
      </w:r>
    </w:p>
    <w:p>
      <w:r>
        <w:rPr>
          <w:color w:val="5A7D3A"/>
          <w:sz w:val="18"/>
        </w:rPr>
        <w:t>https://pubmed.ncbi.nlm.nih.gov/42472497/</w:t>
      </w:r>
    </w:p>
    <w:p>
      <w:pPr>
        <w:pStyle w:val="Heading2"/>
      </w:pPr>
      <w:r>
        <w:t>Hochdosis-Grippeimpfung für Senioren in Skandinavien: Kostenwirksamkeit und Nutzen</w:t>
      </w:r>
    </w:p>
    <w:p>
      <w:r>
        <w:rPr>
          <w:i/>
          <w:color w:val="666666"/>
          <w:sz w:val="18"/>
        </w:rPr>
        <w:t>Grootendorst A et al.  ·  Vaccine  ·  13.08.2026  ·  PMID 42468224</w:t>
      </w:r>
    </w:p>
    <w:p>
      <w:r>
        <w:t>Modellrechnung (Entscheidungsbaum-Influenza-Modell) für vier nordische Länder zum Vergleich nationaler Impfpolitik mit ausgeweitertem Hochdosis-Grippeimpfstoff-Programm für Erwachsene ≥65 Jahre.</w:t>
      </w:r>
    </w:p>
    <w:p>
      <w:r>
        <w:rPr>
          <w:b/>
        </w:rPr>
        <w:t xml:space="preserve">Ergebnis: </w:t>
      </w:r>
      <w:r>
        <w:t>Ausweitung auf alle ≥65-Jährigen würde in Schweden 13.929, Finnland 6.411, Norwegen 5.951 und Dänemark 2.438 symptomatische Fälle verhindern; entsprechend 1.615, 804, 762 bzw. 407 gewonnene Lebensjahre. Hospitalisierungen reduziert um 786, 362, 336 bzw. 138; Zusatzkosten €7,7 Mio (Schweden), €2,5 Mio (Finnland), €4,4 Mio (Norwegen), €2,4 Mio (Dänemark) – vertretbar im Verhältnis zur Gesamtausgaben.</w:t>
      </w:r>
    </w:p>
    <w:p>
      <w:r>
        <w:rPr>
          <w:b/>
          <w:sz w:val="19"/>
        </w:rPr>
        <w:t xml:space="preserve">Übertragbarkeit: </w:t>
      </w:r>
      <w:r>
        <w:rPr>
          <w:sz w:val="19"/>
        </w:rPr>
        <w:t>Skandinavien, Sozialversicherungssysteme vergleichbar mit Deutschland</w:t>
      </w:r>
    </w:p>
    <w:p>
      <w:r>
        <w:rPr>
          <w:color w:val="5A7D3A"/>
          <w:sz w:val="18"/>
        </w:rPr>
        <w:t>https://pubmed.ncbi.nlm.nih.gov/42468224/</w:t>
      </w:r>
    </w:p>
    <w:p>
      <w:pPr>
        <w:pStyle w:val="Heading2"/>
      </w:pPr>
      <w:r>
        <w:t>Bereitschaft zur Cholera-Impfung in sechs afrikanischen Ländern: Psychologische Faktoren und Krankheitsrisiko</w:t>
      </w:r>
    </w:p>
    <w:p>
      <w:r>
        <w:rPr>
          <w:i/>
          <w:color w:val="666666"/>
          <w:sz w:val="18"/>
        </w:rPr>
        <w:t>Geiger M et al.  ·  Vaccine  ·  13.08.2026  ·  PMID 42462676</w:t>
      </w:r>
    </w:p>
    <w:p>
      <w:r>
        <w:t>Querschnittsbefragung von 14.132 englischsprachigen Teilnehmern in Ghana, Kenia, Nigeria, Südafrika, Tansania und Uganda zur Impfbereitschaft gegen Cholera anhand des 7C-Modells (Vertrauen, Unachtsamkeit, Zwänge, Berechnung, kollektive Verantwortung, Einhaltung, Verschwörungsdenken).</w:t>
      </w:r>
    </w:p>
    <w:p>
      <w:r>
        <w:rPr>
          <w:b/>
        </w:rPr>
        <w:t xml:space="preserve">Ergebnis: </w:t>
      </w:r>
      <w:r>
        <w:t>Impfbereitschaft korrelierte stark mit selbstberichteter Cholera-Impfstatus (d = 0,32) und allgemeinem Impfstatus (r = 0,35). Persönliche Cholera-Erfahrung assoziiert mit höherer Bereitschaft (d = 0,14). Auf Länderebene: Durchschnittliche Bereitschaft korrelierte stark mit Cholera-Inzidenz letzte drei Jahre (ρ = 0,89) – höhere Bereitschaft in Ländern mit höherer Krankheitslast.</w:t>
      </w:r>
    </w:p>
    <w:p>
      <w:r>
        <w:rPr>
          <w:b/>
          <w:sz w:val="19"/>
        </w:rPr>
        <w:t xml:space="preserve">Übertragbarkeit: </w:t>
      </w:r>
      <w:r>
        <w:rPr>
          <w:sz w:val="19"/>
        </w:rPr>
        <w:t>Afrika, methodologische Erkenntnis zu Vaccine Hesitancy-Messung in Ländern mit niedrigem Impfniveau</w:t>
      </w:r>
    </w:p>
    <w:p>
      <w:r>
        <w:rPr>
          <w:color w:val="5A7D3A"/>
          <w:sz w:val="18"/>
        </w:rPr>
        <w:t>https://pubmed.ncbi.nlm.nih.gov/42462676/</w:t>
      </w:r>
    </w:p>
    <w:p>
      <w:pPr>
        <w:pStyle w:val="Heading2"/>
      </w:pPr>
      <w:r>
        <w:t>SARS-CoV-2-Impfung bei Stammzell-Transplantierten: Antikörperantwort vergleichbar mit Gesunden</w:t>
      </w:r>
    </w:p>
    <w:p>
      <w:r>
        <w:rPr>
          <w:i/>
          <w:color w:val="666666"/>
          <w:sz w:val="18"/>
        </w:rPr>
        <w:t>Maier CP et al.  ·  Front Immunol  ·  01.07.2026  ·  PMID 42459652</w:t>
      </w:r>
    </w:p>
    <w:p>
      <w:r>
        <w:t>Längsschnitt-Studie an 354 allogenen Stammzell-Transplantierten und 647 gesunden Kontrollen zu IgG-, IgM-, IgA-Antikörper-Kinetik gegen SARS-CoV-2-Antigene nach mRNA-, Vektor- und Protein-Impfstoff-Dosen.</w:t>
      </w:r>
    </w:p>
    <w:p>
      <w:r>
        <w:rPr>
          <w:b/>
        </w:rPr>
        <w:t xml:space="preserve">Ergebnis: </w:t>
      </w:r>
      <w:r>
        <w:t>Anti-Spike-IgG-Serokonversion: nach 1. Dosis 27 % (Patienten) vs. 28 % (Kontrollen), nach 2. Dosis 65 % vs. 59 %, nach 3. Dosis 93 % vs. 98 %. Nach drei Dosen keine signifikanten Unterschiede mehr zwischen Gruppen. IgM/IgA selten. Negative Prädiktoren nach 1. Dosis (Diagnose, kürzeres Intervall, niedrige Lymphozyten), nach 3. Dosis keine. Antikörperspiegel ≥6 Monate stabil. Durchbruchinfektionen mild.</w:t>
      </w:r>
    </w:p>
    <w:p>
      <w:r>
        <w:rPr>
          <w:b/>
          <w:sz w:val="19"/>
        </w:rPr>
        <w:t xml:space="preserve">Übertragbarkeit: </w:t>
      </w:r>
      <w:r>
        <w:rPr>
          <w:sz w:val="19"/>
        </w:rPr>
        <w:t>Deutschland, deutschsprachige Autoren (Tübingen), Transplantationszentren vergleichbar</w:t>
      </w:r>
    </w:p>
    <w:p>
      <w:r>
        <w:rPr>
          <w:color w:val="5A7D3A"/>
          <w:sz w:val="18"/>
        </w:rPr>
        <w:t>https://pubmed.ncbi.nlm.nih.gov/42459652/</w:t>
      </w:r>
    </w:p>
    <w:p>
      <w:pPr>
        <w:pStyle w:val="Heading1"/>
      </w:pPr>
      <w:r>
        <w:t>Aufgenommen am 01.09.2026</w:t>
      </w:r>
    </w:p>
    <w:p>
      <w:pPr>
        <w:pStyle w:val="Heading2"/>
      </w:pPr>
      <w:r>
        <w:t>Neue mRNA-Impfstoffe gegen COVID-19 in Phase 2: Sicherheit und Immunogenität</w:t>
      </w:r>
    </w:p>
    <w:p>
      <w:r>
        <w:rPr>
          <w:i/>
          <w:color w:val="666666"/>
          <w:sz w:val="18"/>
        </w:rPr>
        <w:t>Wong R et al.  ·  Hum Vaccin Immunother  ·  26.08.2026  ·  PMID 42647564</w:t>
      </w:r>
    </w:p>
    <w:p>
      <w:r>
        <w:t>Phase-2-Studie mit 425 vorgeimpften Erwachsenen in Australien: Vergleich experimenteller bivalenter und monovalenter mRNA-Impfstoffe mit lizenziertem Wuhan/BA.4-5-Impfstoff.</w:t>
      </w:r>
    </w:p>
    <w:p>
      <w:r>
        <w:rPr>
          <w:b/>
        </w:rPr>
        <w:t xml:space="preserve">Ergebnis: </w:t>
      </w:r>
      <w:r>
        <w:t>Überwiegend milde bis moderate Lokalreaktionen. Keine impfstoffbedingten schwerwiegenden Nebenwirkungen oder Myokarditis/Perikarditis. CV0701-Impfstoff (bivalent) zeigte dosisabhängige Neutralisationsantikörper-Anstiege gegen ancestrales D614G und Omicron BA.4-5. CD4+- und CD8+-T-Zell-Antworten in allen Gruppen außer niedrigster CV0701-Dosis.</w:t>
      </w:r>
    </w:p>
    <w:p>
      <w:r>
        <w:rPr>
          <w:b/>
          <w:sz w:val="19"/>
        </w:rPr>
        <w:t xml:space="preserve">Übertragbarkeit: </w:t>
      </w:r>
      <w:r>
        <w:rPr>
          <w:sz w:val="19"/>
        </w:rPr>
        <w:t>Australisches Studienzentrum, Phase 2; Sicherheitsprofil übertragbar, Immunogenität Laborbiomarker.</w:t>
      </w:r>
    </w:p>
    <w:p>
      <w:r>
        <w:rPr>
          <w:color w:val="5A7D3A"/>
          <w:sz w:val="18"/>
        </w:rPr>
        <w:t>https://pubmed.ncbi.nlm.nih.gov/42647564/</w:t>
      </w:r>
    </w:p>
    <w:p>
      <w:pPr>
        <w:pStyle w:val="Heading2"/>
      </w:pPr>
      <w:r>
        <w:t>Pertussis-Impfschutz in Schweden durch Durchbruchinfektionen gefährdet</w:t>
      </w:r>
    </w:p>
    <w:p>
      <w:r>
        <w:rPr>
          <w:i/>
          <w:color w:val="666666"/>
          <w:sz w:val="18"/>
        </w:rPr>
        <w:t>Brett TS et al.  ·  PLoS Comput Biol  ·  04.08.2026  ·  PMID 42550879</w:t>
      </w:r>
    </w:p>
    <w:p>
      <w:r>
        <w:t>Mathematisches Modell der Pertussis-Dynamik in Schweden mit empirischen Meldedaten: Kombination aus leaky DTaP-Immunität, Impfstoffschutz-Abnahme und erhöhter Datenerfassung seit 2014.</w:t>
      </w:r>
    </w:p>
    <w:p>
      <w:r>
        <w:rPr>
          <w:b/>
        </w:rPr>
        <w:t xml:space="preserve">Ergebnis: </w:t>
      </w:r>
      <w:r>
        <w:t>Die DTaP-Impfung verhindert etwa 50% der Infektionen bei ungeimpften Neugeborenen (indirekter Schutz). Pertussis-Elimination ist mit azellulärem Impfstoff nicht möglich wegen Impfstoff-Durchlässigkeit und Immunitätsverlust. Der Anstieg der Fallmeldungen ab 2014 wird nicht allein durch echte Infektionszunahme erklärt, sondern auch durch verbesserte Labortestung.</w:t>
      </w:r>
    </w:p>
    <w:p>
      <w:r>
        <w:rPr>
          <w:b/>
          <w:sz w:val="19"/>
        </w:rPr>
        <w:t xml:space="preserve">Übertragbarkeit: </w:t>
      </w:r>
      <w:r>
        <w:rPr>
          <w:sz w:val="19"/>
        </w:rPr>
        <w:t>Schweden mit detailliertem Surveillance-System; Befund auf Deutschland übertragbar.</w:t>
      </w:r>
    </w:p>
    <w:p>
      <w:r>
        <w:rPr>
          <w:color w:val="5A7D3A"/>
          <w:sz w:val="18"/>
        </w:rPr>
        <w:t>https://pubmed.ncbi.nlm.nih.gov/42550879/</w:t>
      </w:r>
    </w:p>
    <w:p>
      <w:pPr>
        <w:pStyle w:val="Heading2"/>
      </w:pPr>
      <w:r>
        <w:t>Zoster-Impfstoff während Krebstherapie: Umsetzbarkeit und Sicherheit</w:t>
      </w:r>
    </w:p>
    <w:p>
      <w:r>
        <w:rPr>
          <w:i/>
          <w:color w:val="666666"/>
          <w:sz w:val="18"/>
        </w:rPr>
        <w:t>Ciappina G et al.  ·  Hum Vaccin Immunother  ·  30.07.2026  ·  PMID 42529910</w:t>
      </w:r>
    </w:p>
    <w:p>
      <w:r>
        <w:t>Retrospektive Kohorte von 42 Krebspatienten unter systemischer Therapie, denen rekombinanter Zoster-Impfstoff (RZV) angeboten wurde; zwei Dosen im Standard-Abstand.</w:t>
      </w:r>
    </w:p>
    <w:p>
      <w:r>
        <w:rPr>
          <w:b/>
        </w:rPr>
        <w:t xml:space="preserve">Ergebnis: </w:t>
      </w:r>
      <w:r>
        <w:t>37 von 42 (88,1%) vollendeten beide Dosen. Verträglichkeit günstig: Injektionsstellen-Schmerz am häufigsten, Systembeschwerden mild und vorübergehend. Keine schweren impfbezogenen Ereignisse, keine Behandlungsverzögerungen. Nach Median 11,5 Monaten kein dokumentiertes Herpes zoster (aber kleine Fallzahl).</w:t>
      </w:r>
    </w:p>
    <w:p>
      <w:r>
        <w:rPr>
          <w:b/>
          <w:sz w:val="19"/>
        </w:rPr>
        <w:t xml:space="preserve">Übertragbarkeit: </w:t>
      </w:r>
      <w:r>
        <w:rPr>
          <w:sz w:val="19"/>
        </w:rPr>
        <w:t>Einzelnes italienisches Zentrum; Machbarkeitsbefund für Impfen unter Immunsuppression relevant.</w:t>
      </w:r>
    </w:p>
    <w:p>
      <w:r>
        <w:rPr>
          <w:color w:val="5A7D3A"/>
          <w:sz w:val="18"/>
        </w:rPr>
        <w:t>https://pubmed.ncbi.nlm.nih.gov/42529910/</w:t>
      </w:r>
    </w:p>
    <w:p>
      <w:pPr>
        <w:pStyle w:val="Heading2"/>
      </w:pPr>
      <w:r>
        <w:t>HPV-Impfbereitschaft bei ländlichen Eltern: Barrieren und Anreize in Äthiopien</w:t>
      </w:r>
    </w:p>
    <w:p>
      <w:r>
        <w:rPr>
          <w:i/>
          <w:color w:val="666666"/>
          <w:sz w:val="18"/>
        </w:rPr>
        <w:t>Zenebe S et al.  ·  PLoS One  ·  22.07.2026  ·  PMID 42485289</w:t>
      </w:r>
    </w:p>
    <w:p>
      <w:r>
        <w:t>Qualitative Studie zu Faktoren der HPV-Impf-Akzeptanz bei Eltern von Mädchen im ländlichen Südäthiopien mittels Fokusgruppen und Einzelinterviews.</w:t>
      </w:r>
    </w:p>
    <w:p>
      <w:r>
        <w:rPr>
          <w:b/>
        </w:rPr>
        <w:t xml:space="preserve">Ergebnis: </w:t>
      </w:r>
      <w:r>
        <w:t>Befürworter: Krebsprävention, elterliche Verantwortung, Vertrauen in Fachkräfte-Empfehlungen. Barrieren: Mangelndes Wissen, fehlende zuverlässige Informationsquellen, Impfskepsis, Angst vor Nebenwirkungen, kulturelle und religiöse Faktoren. Hauptempfehlung: Behörden und Institutionen müssen zusammen gegen erkannte Barrieren vorgehen.</w:t>
      </w:r>
    </w:p>
    <w:p>
      <w:r>
        <w:rPr>
          <w:b/>
          <w:sz w:val="19"/>
        </w:rPr>
        <w:t xml:space="preserve">Übertragbarkeit: </w:t>
      </w:r>
      <w:r>
        <w:rPr>
          <w:sz w:val="19"/>
        </w:rPr>
        <w:t>Äthiopien-Setting; Befunde zu Vertrauensfaktoren und Wissensdefiziten weltweit relevant.</w:t>
      </w:r>
    </w:p>
    <w:p>
      <w:r>
        <w:rPr>
          <w:color w:val="5A7D3A"/>
          <w:sz w:val="18"/>
        </w:rPr>
        <w:t>https://pubmed.ncbi.nlm.nih.gov/42485289/</w:t>
      </w:r>
    </w:p>
    <w:p>
      <w:pPr>
        <w:pStyle w:val="Heading2"/>
      </w:pPr>
      <w:r>
        <w:t>CAR-T-Zelltherapie für Autoimmunerkrankungen: Stand und Perspektiven</w:t>
      </w:r>
    </w:p>
    <w:p>
      <w:r>
        <w:rPr>
          <w:i/>
          <w:color w:val="666666"/>
          <w:sz w:val="18"/>
        </w:rPr>
        <w:t>Bachl J et al.  ·  PLoS Med  ·  20.07.2026  ·  PMID 42475287</w:t>
      </w:r>
    </w:p>
    <w:p>
      <w:r>
        <w:t>Überblickartikel zu CAR-T-Zellen (chimäre Antigen-Rezeptoren) in der Behandlung von Autoimmunerkrankungen: bisherige Erfolge und offene Fragen.</w:t>
      </w:r>
    </w:p>
    <w:p>
      <w:r>
        <w:rPr>
          <w:b/>
        </w:rPr>
        <w:t xml:space="preserve">Ergebnis: </w:t>
      </w:r>
      <w:r>
        <w:t>CAR-T-Therapien haben Potenzial, dysfunktionale Immunsysteme zurückzusetzen. Neueste technologische Entwicklungen ermöglichen Hoffnung für Patienten mit therapierefraktären Autoimmunerkrankungen. Zahlreiche Herausforderungen bleiben, insgesamt wird die transformative Wirkung dieser Zelltherapien für künftige Patienten angedeutet.</w:t>
      </w:r>
    </w:p>
    <w:p>
      <w:r>
        <w:rPr>
          <w:b/>
          <w:sz w:val="19"/>
        </w:rPr>
        <w:t xml:space="preserve">Übertragbarkeit: </w:t>
      </w:r>
      <w:r>
        <w:rPr>
          <w:sz w:val="19"/>
        </w:rPr>
        <w:t>Überblick ohne primäre Daten; nicht primär impfpräventiv, sondern therapeutisch.</w:t>
      </w:r>
    </w:p>
    <w:p>
      <w:r>
        <w:rPr>
          <w:color w:val="5A7D3A"/>
          <w:sz w:val="18"/>
        </w:rPr>
        <w:t>https://pubmed.ncbi.nlm.nih.gov/42475287/</w:t>
      </w:r>
    </w:p>
    <w:p>
      <w:pPr>
        <w:pStyle w:val="Heading2"/>
      </w:pPr>
      <w:r>
        <w:t>Pentavalent-Impflücke verursachte Diphtherie-Ausbruch in Nigeria</w:t>
      </w:r>
    </w:p>
    <w:p>
      <w:r>
        <w:rPr>
          <w:i/>
          <w:color w:val="666666"/>
          <w:sz w:val="18"/>
        </w:rPr>
        <w:t>Okhuarobo UJ et al.  ·  Pan Afr Med J  ·  10.03.2026  ·  PMID 42465825</w:t>
      </w:r>
    </w:p>
    <w:p>
      <w:r>
        <w:t>Fall-Kontroll-Studie zu Diphtherie-Ausbruch in Kafanchan, Nigeria (Juli-Oktober 2023): Exposition, Kontakte und Impfstatus.</w:t>
      </w:r>
    </w:p>
    <w:p>
      <w:r>
        <w:rPr>
          <w:b/>
        </w:rPr>
        <w:t xml:space="preserve">Ergebnis: </w:t>
      </w:r>
      <w:r>
        <w:t>91 Fälle, medianes Alter 7 Jahre, Fallsterblichkeit 23%. Pentavalent-Impfung: protektiv (aOR 0,39, 95%-KI 0,20–0,77). Kontakt mit respiratorischen Symptomen: OR 37,2 (KI 16,8–82,6). 25% hatten nie Pentavalent erhalten, Grund: Unwissenheit über Nutzen. Verbesserung durch Risikokommunikation und gestärkte Routine-Impfung.</w:t>
      </w:r>
    </w:p>
    <w:p>
      <w:r>
        <w:rPr>
          <w:b/>
          <w:sz w:val="19"/>
        </w:rPr>
        <w:t xml:space="preserve">Übertragbarkeit: </w:t>
      </w:r>
      <w:r>
        <w:rPr>
          <w:sz w:val="19"/>
        </w:rPr>
        <w:t>Nigeria-Daten; Mechanism-Befund (Lücken-Ausbruch) global übertragbar.</w:t>
      </w:r>
    </w:p>
    <w:p>
      <w:r>
        <w:rPr>
          <w:color w:val="5A7D3A"/>
          <w:sz w:val="18"/>
        </w:rPr>
        <w:t>https://pubmed.ncbi.nlm.nih.gov/42465825/</w:t>
      </w:r>
    </w:p>
    <w:p>
      <w:pPr>
        <w:pStyle w:val="Heading1"/>
      </w:pPr>
      <w:r>
        <w:t>Aufgenommen am 31.08.2026</w:t>
      </w:r>
    </w:p>
    <w:p>
      <w:pPr>
        <w:pStyle w:val="Heading2"/>
      </w:pPr>
      <w:r>
        <w:t>Langzeitimmunität nach Hepatitis-B-Impfung bei Menschen mit HIV: 8,5-Jahr-Verlauf in China</w:t>
      </w:r>
    </w:p>
    <w:p>
      <w:r>
        <w:rPr>
          <w:i/>
          <w:color w:val="666666"/>
          <w:sz w:val="18"/>
        </w:rPr>
        <w:t>Yang H et al.  ·  Front Public Health  ·  14.08.2026  ·  PMID 42666258</w:t>
      </w:r>
    </w:p>
    <w:p>
      <w:r>
        <w:t>Retrospektive Kohortenstudie mit 195 HIV-positiven Personen ohne anti-HBs-Schutz, die Heplisav-B erhielten, mit Langzeitfollow-up 1,5-8,5 Jahre.</w:t>
      </w:r>
    </w:p>
    <w:p>
      <w:r>
        <w:rPr>
          <w:b/>
        </w:rPr>
        <w:t xml:space="preserve">Ergebnis: </w:t>
      </w:r>
      <w:r>
        <w:t>Nach 3-4 Dosen initial 98% und 85% Responserate (vs. 77-79% nach 1-2 Dosen). Nach 8,5 Jahren: 83% (3 Dosen) und 88% (4 Dosen) zeigten anhaltende Antikörper &gt;100 IU/mL. Unabhängige Korrelaten: Dosenzahl und frühes serologisches Ansprechen.</w:t>
      </w:r>
    </w:p>
    <w:p>
      <w:r>
        <w:rPr>
          <w:b/>
          <w:sz w:val="19"/>
        </w:rPr>
        <w:t xml:space="preserve">Übertragbarkeit: </w:t>
      </w:r>
      <w:r>
        <w:rPr>
          <w:sz w:val="19"/>
        </w:rPr>
        <w:t>China, aber Heplisav-B weltweit, zeigt optimale Impfschemata für immungeschwächte Personen</w:t>
      </w:r>
    </w:p>
    <w:p>
      <w:r>
        <w:rPr>
          <w:color w:val="5A7D3A"/>
          <w:sz w:val="18"/>
        </w:rPr>
        <w:t>https://pubmed.ncbi.nlm.nih.gov/42666258/</w:t>
      </w:r>
    </w:p>
    <w:p>
      <w:pPr>
        <w:pStyle w:val="Heading2"/>
      </w:pPr>
      <w:r>
        <w:t>Sozioökonomische Ungleichheiten bei COVID-19-Impfung nigerianischer Frauen</w:t>
      </w:r>
    </w:p>
    <w:p>
      <w:r>
        <w:rPr>
          <w:i/>
          <w:color w:val="666666"/>
          <w:sz w:val="18"/>
        </w:rPr>
        <w:t>Ekholuenetale M  ·  PLoS One  ·  28.08.2026  ·  PMID 42664197</w:t>
      </w:r>
    </w:p>
    <w:p>
      <w:r>
        <w:t>Querschnittsanalyse mit 36.555 Frauen aus Nigeria-Bevölkerungsumfrage 2024 zur Zerlegung sozioökonomischer Disparitäten bei Impfquoten.</w:t>
      </w:r>
    </w:p>
    <w:p>
      <w:r>
        <w:rPr>
          <w:b/>
        </w:rPr>
        <w:t xml:space="preserve">Ergebnis: </w:t>
      </w:r>
      <w:r>
        <w:t>Impfquote bei am wenigsten benachteiligten Frauen 31,6%, bei am stärksten benachteiligten 19,2%. Positive Einflussfaktoren: höhere Bildung, Medienpräsenz, Krankenversicherung, Alter ≥30 Jahre, südliche Regionen. Bildung, Medienexposition und Versicherung trugen am stärksten zu Disparitäten bei.</w:t>
      </w:r>
    </w:p>
    <w:p>
      <w:r>
        <w:rPr>
          <w:b/>
          <w:sz w:val="19"/>
        </w:rPr>
        <w:t xml:space="preserve">Übertragbarkeit: </w:t>
      </w:r>
      <w:r>
        <w:rPr>
          <w:sz w:val="19"/>
        </w:rPr>
        <w:t>Nigeria, aber Ungleichheitsmuster zeigen universelle Zugangsbarrieren</w:t>
      </w:r>
    </w:p>
    <w:p>
      <w:r>
        <w:rPr>
          <w:color w:val="5A7D3A"/>
          <w:sz w:val="18"/>
        </w:rPr>
        <w:t>https://pubmed.ncbi.nlm.nih.gov/42664197/</w:t>
      </w:r>
    </w:p>
    <w:p>
      <w:pPr>
        <w:pStyle w:val="Heading2"/>
      </w:pPr>
      <w:r>
        <w:t>COVID-19-Impfquote bei Gemeindeimpfterminen: Dauer, Wochentag und Partnerschaft steigern Reichweite</w:t>
      </w:r>
    </w:p>
    <w:p>
      <w:r>
        <w:rPr>
          <w:i/>
          <w:color w:val="666666"/>
          <w:sz w:val="18"/>
        </w:rPr>
        <w:t>Shakib SH et al.  ·  Viruses  ·  11.08.2026  ·  PMID 42655698</w:t>
      </w:r>
    </w:p>
    <w:p>
      <w:r>
        <w:t>Retrospektive Analyse von 631 Impfterminen (27.767 Dosen) in Kentucky 2021-2022 zu Assoziationen zwischen Veranstaltungsmerkmalen und verabreichten Dosen pro Termin.</w:t>
      </w:r>
    </w:p>
    <w:p>
      <w:r>
        <w:rPr>
          <w:b/>
        </w:rPr>
        <w:t xml:space="preserve">Ergebnis: </w:t>
      </w:r>
      <w:r>
        <w:t>Jede zusätzliche Stunde Veranstaltungsdauer: +21,6% Dosen pro Termin. Wochenendtermine: +87,8% gegenüber Wochentagen. Nicht-regierungsorganisationen: +44,7%; Unternehmen: +110%; medizinische Anbieter: +57,8% gegenüber Government-Terminen. Nur-LMPHW-Termine (ohne Partner): +198,4%.</w:t>
      </w:r>
    </w:p>
    <w:p>
      <w:r>
        <w:rPr>
          <w:b/>
          <w:sz w:val="19"/>
        </w:rPr>
        <w:t xml:space="preserve">Übertragbarkeit: </w:t>
      </w:r>
      <w:r>
        <w:rPr>
          <w:sz w:val="19"/>
        </w:rPr>
        <w:t>USA, aber Zugangsoptimierungen übertragbar auf deutsche Impfstellen</w:t>
      </w:r>
    </w:p>
    <w:p>
      <w:r>
        <w:rPr>
          <w:color w:val="5A7D3A"/>
          <w:sz w:val="18"/>
        </w:rPr>
        <w:t>https://pubmed.ncbi.nlm.nih.gov/42655698/</w:t>
      </w:r>
    </w:p>
    <w:p>
      <w:pPr>
        <w:pStyle w:val="Heading2"/>
      </w:pPr>
      <w:r>
        <w:t>Mütterlicherve RSV-Impfung: Akzeptanz und Kommunikationspräferenzen schwangerer Frauen in England</w:t>
      </w:r>
    </w:p>
    <w:p>
      <w:r>
        <w:rPr>
          <w:i/>
          <w:color w:val="666666"/>
          <w:sz w:val="18"/>
        </w:rPr>
        <w:t>Bell S et al.  ·  Vaccine  ·  13.08.2026  ·  PMID 42497669</w:t>
      </w:r>
    </w:p>
    <w:p>
      <w:r>
        <w:t>Qualitative Studie mit 30 Müttern in England zu Wahrnehmungen der maternalen RSV-Impfung ab 28 Schwangerschaftswochen.</w:t>
      </w:r>
    </w:p>
    <w:p>
      <w:r>
        <w:rPr>
          <w:b/>
        </w:rPr>
        <w:t xml:space="preserve">Ergebnis: </w:t>
      </w:r>
      <w:r>
        <w:t>Hohe Impfbereitschaft, aber Wissenslücken zu RSV-Schweregrad. Mütter bevorzugen Informationen online, schriftlich und durch Hebammen; 84% wollen Impfung in Antenatalbetreuung (nicht separate Praxistermine).</w:t>
      </w:r>
    </w:p>
    <w:p>
      <w:r>
        <w:rPr>
          <w:b/>
          <w:sz w:val="19"/>
        </w:rPr>
        <w:t xml:space="preserve">Übertragbarkeit: </w:t>
      </w:r>
      <w:r>
        <w:rPr>
          <w:sz w:val="19"/>
        </w:rPr>
        <w:t>Großbritannien, vergleichbares Versorgungssystem, neue Impfempfehlung, übertragbare Zugangsoptimierung</w:t>
      </w:r>
    </w:p>
    <w:p>
      <w:r>
        <w:rPr>
          <w:color w:val="5A7D3A"/>
          <w:sz w:val="18"/>
        </w:rPr>
        <w:t>https://pubmed.ncbi.nlm.nih.gov/42497669/</w:t>
      </w:r>
    </w:p>
    <w:p>
      <w:pPr>
        <w:pStyle w:val="Heading2"/>
      </w:pPr>
      <w:r>
        <w:t>Nutzen-Kosten-Analyse: Atemwegsimpfung bei Erwachsenen ≥65 Jahren in Frankreich</w:t>
      </w:r>
    </w:p>
    <w:p>
      <w:r>
        <w:rPr>
          <w:i/>
          <w:color w:val="666666"/>
          <w:sz w:val="18"/>
        </w:rPr>
        <w:t>Napier M et al.  ·  Expert Rev Vaccines  ·  22.07.2026  ·  PMID 42484014</w:t>
      </w:r>
    </w:p>
    <w:p>
      <w:r>
        <w:t>Ökonomische Analyse zur Rentabilität von Pneumokokken-, RSV-, Influenza- und COVID-19-Impfungen bei älteren Franzosen.</w:t>
      </w:r>
    </w:p>
    <w:p>
      <w:r>
        <w:rPr>
          <w:b/>
        </w:rPr>
        <w:t xml:space="preserve">Ergebnis: </w:t>
      </w:r>
      <w:r>
        <w:t>Nutzen-Kosten-Verhältnis 2,0-8,7€ pro 1€ Ausgaben über Lebenszeit. RSV-Impfung würde Nettonutzen um 6-7% erhöhen. Erreichung ehrgeiziger Impfquoten (z.B. auf 90%) würde Nutzen um 138-175% steigern.</w:t>
      </w:r>
    </w:p>
    <w:p>
      <w:r>
        <w:rPr>
          <w:b/>
          <w:sz w:val="19"/>
        </w:rPr>
        <w:t xml:space="preserve">Übertragbarkeit: </w:t>
      </w:r>
      <w:r>
        <w:rPr>
          <w:sz w:val="19"/>
        </w:rPr>
        <w:t>Frankreich, vergleichbares System, zeigt Wirtschaftlichkeit höherer Quoten</w:t>
      </w:r>
    </w:p>
    <w:p>
      <w:r>
        <w:rPr>
          <w:color w:val="5A7D3A"/>
          <w:sz w:val="18"/>
        </w:rPr>
        <w:t>https://pubmed.ncbi.nlm.nih.gov/42484014/</w:t>
      </w:r>
    </w:p>
    <w:p>
      <w:pPr>
        <w:pStyle w:val="Heading2"/>
      </w:pPr>
      <w:r>
        <w:t>Tdap-Impfzeitpunkt in der Schwangerschaft: Antikörperresponse und Plazentaweitergabe</w:t>
      </w:r>
    </w:p>
    <w:p>
      <w:r>
        <w:rPr>
          <w:i/>
          <w:color w:val="666666"/>
          <w:sz w:val="18"/>
        </w:rPr>
        <w:t>De Weerdt L et al.  ·  Vaccine  ·  13.08.2026  ·  PMID 42472495</w:t>
      </w:r>
    </w:p>
    <w:p>
      <w:r>
        <w:t>Prospektive Studie mit 96 schwangeren Frauen in Belgien zur Charakterisierung der Auswirkung des Impfzeitpunkts (16.-32. Woche) auf maternale und neonatale Antikörperprofile.</w:t>
      </w:r>
    </w:p>
    <w:p>
      <w:r>
        <w:rPr>
          <w:b/>
        </w:rPr>
        <w:t xml:space="preserve">Ergebnis: </w:t>
      </w:r>
      <w:r>
        <w:t>Maternale IgG und IgG1 gegen Pertussis, Diphtherie, Tetanus bei späteren Impfungen höher; neonatale Profile vergleichbar. IgG-Transferquoten sanken mit fortgeschrittenerem Gestationsalter, funktionelle Antikörperübertragung kaum beeinflusst.</w:t>
      </w:r>
    </w:p>
    <w:p>
      <w:r>
        <w:rPr>
          <w:b/>
          <w:sz w:val="19"/>
        </w:rPr>
        <w:t xml:space="preserve">Übertragbarkeit: </w:t>
      </w:r>
      <w:r>
        <w:rPr>
          <w:sz w:val="19"/>
        </w:rPr>
        <w:t>Belgien, vergleichbares Versicherungssystem, bestätigt Empfehlung 16.-32. Wochen</w:t>
      </w:r>
    </w:p>
    <w:p>
      <w:r>
        <w:rPr>
          <w:color w:val="5A7D3A"/>
          <w:sz w:val="18"/>
        </w:rPr>
        <w:t>https://pubmed.ncbi.nlm.nih.gov/42472495/</w:t>
      </w:r>
    </w:p>
    <w:p>
      <w:pPr>
        <w:pStyle w:val="Heading1"/>
      </w:pPr>
      <w:r>
        <w:t>Aufgenommen am 30.08.2026</w:t>
      </w:r>
    </w:p>
    <w:p>
      <w:pPr>
        <w:pStyle w:val="Heading2"/>
      </w:pPr>
      <w:r>
        <w:t>Rapid strain-matched Influenza-Impfung hätte 28.000 Todesfälle in UK-ähnlicher Pandemie verhindert</w:t>
      </w:r>
    </w:p>
    <w:p>
      <w:r>
        <w:rPr>
          <w:i/>
          <w:color w:val="666666"/>
          <w:sz w:val="18"/>
        </w:rPr>
        <w:t>Lovick S et al.  ·  Hum Vaccin Immunother  ·  28.08.2026  ·  PMID 42663142</w:t>
      </w:r>
    </w:p>
    <w:p>
      <w:r>
        <w:t>Dynamisches SEIR-Transmissionsmodell für UK-ähnliche Bevölkerung zur Bewertung Morbidität, Mortalität und Kosten einer frühen zellbasierten vs. eibasierten Pandemie-Impfstoff-Kampagne mit/ohne Maßnahmen.</w:t>
      </w:r>
    </w:p>
    <w:p>
      <w:r>
        <w:rPr>
          <w:b/>
        </w:rPr>
        <w:t xml:space="preserve">Ergebnis: </w:t>
      </w:r>
      <w:r>
        <w:t>16-wöchige Impfkampagne ab 16 Wochen nach Pandemie-Erklärung (ohne Maßnahmen) reduzierte Infektionen um 3,0 Millionen und Todesfälle um 28.000, mit größerem Nutzen in Low-Transmissibility-Szenarien. Zellbasierter Impfstoff reduzierte Todesfälle zusätzlich um 5,0%. Maßnahmen (Durchschnittskosten £208 Mrd.) verbesserten Impfeffektivität, zellbasierter Impfstoff zusätzlich um 0,9%. Verzögerungen erhöhten Mortalität und wirtschaftliche Kosten.</w:t>
      </w:r>
    </w:p>
    <w:p>
      <w:r>
        <w:rPr>
          <w:b/>
          <w:sz w:val="19"/>
        </w:rPr>
        <w:t xml:space="preserve">Übertragbarkeit: </w:t>
      </w:r>
      <w:r>
        <w:rPr>
          <w:sz w:val="19"/>
        </w:rPr>
        <w:t>UK-ähnliche Gesundheitssysteme, Modellierung ohne spezifische nationale Daten.</w:t>
      </w:r>
    </w:p>
    <w:p>
      <w:r>
        <w:rPr>
          <w:color w:val="5A7D3A"/>
          <w:sz w:val="18"/>
        </w:rPr>
        <w:t>https://pubmed.ncbi.nlm.nih.gov/42663142/</w:t>
      </w:r>
    </w:p>
    <w:p>
      <w:pPr>
        <w:pStyle w:val="Heading2"/>
      </w:pPr>
      <w:r>
        <w:t>Vertraute Quellen statt digitale Botschaften: Was COVID-19-Skepsis bei Schwarzen schwangeren Frauen senkt</w:t>
      </w:r>
    </w:p>
    <w:p>
      <w:r>
        <w:rPr>
          <w:i/>
          <w:color w:val="666666"/>
          <w:sz w:val="18"/>
        </w:rPr>
        <w:t>Cox E et al.  ·  Front Public Health  ·  12.08.2026  ·  PMID 42656594</w:t>
      </w:r>
    </w:p>
    <w:p>
      <w:r>
        <w:t>Qualitative Studie mit Interviews und Fokusgruppen bei 30 Schwarzen schwangeren und postpartalen Frauen in den USA zum Einfluss von sozialen Medien-Anzeigen auf Impfbereitschaft.</w:t>
      </w:r>
    </w:p>
    <w:p>
      <w:r>
        <w:rPr>
          <w:b/>
        </w:rPr>
        <w:t xml:space="preserve">Ergebnis: </w:t>
      </w:r>
      <w:r>
        <w:t>Geimpfte, religiöse, politisch konservative und verheiratete Frauen zeigten höhere Bereitschaft nach den Anzeigen. Kein einzelnes Messenger-Format oder Inhaltstyp war überlegen. Qualitativ zentral: Vertrauen in sich selbst, Familie, Doulas und Glaubensführer; Misstrauen gegen Staat und Gesundheitssystem sowie medizinischen Rassismus. Persönliches Zeugnis von vertrauten Quellen könnte Akzeptanz stärken.</w:t>
      </w:r>
    </w:p>
    <w:p>
      <w:r>
        <w:rPr>
          <w:b/>
          <w:sz w:val="19"/>
        </w:rPr>
        <w:t xml:space="preserve">Übertragbarkeit: </w:t>
      </w:r>
      <w:r>
        <w:rPr>
          <w:sz w:val="19"/>
        </w:rPr>
        <w:t>USA, spezifische Herausforderung für Minderheiten-Vertrauen in Gesundheitssystem.</w:t>
      </w:r>
    </w:p>
    <w:p>
      <w:r>
        <w:rPr>
          <w:color w:val="5A7D3A"/>
          <w:sz w:val="18"/>
        </w:rPr>
        <w:t>https://pubmed.ncbi.nlm.nih.gov/42656594/</w:t>
      </w:r>
    </w:p>
    <w:p>
      <w:pPr>
        <w:pStyle w:val="Heading2"/>
      </w:pPr>
      <w:r>
        <w:t>HPV-geimpfte Jugendliche nutzen Kondome häufiger und kennen mehr über Geschlechtskrankheiten</w:t>
      </w:r>
    </w:p>
    <w:p>
      <w:r>
        <w:rPr>
          <w:i/>
          <w:color w:val="666666"/>
          <w:sz w:val="18"/>
        </w:rPr>
        <w:t>Christensen LD et al.  ·  Dan Med J  ·  09.06.2026  ·  PMID 42592763</w:t>
      </w:r>
    </w:p>
    <w:p>
      <w:r>
        <w:t>Querschnittstudie bei 866 von 1.254 neunten Schulklassen-Schülern (69%) in Dänemark 2020–2024 zu HPV-Impfstatus und Wissen über sexuell übertragbare Infektionen.</w:t>
      </w:r>
    </w:p>
    <w:p>
      <w:r>
        <w:rPr>
          <w:b/>
        </w:rPr>
        <w:t xml:space="preserve">Ergebnis: </w:t>
      </w:r>
      <w:r>
        <w:t>20% der Jugendlichen hatten sexuelle Erfahrung mit Medianalter 14 Jahren. Wissen über drei oder mehr STIs war mit HPV-Impfung assoziiert (p=0,001). 62% nutzten bei letztem Sexualkontakt Kondome und/oder orale Kontrazeptiva; Mädchen 70–80%, Jungen 50–55%. HPV-Geimpfte nutzten Kondome signifikant häufiger.</w:t>
      </w:r>
    </w:p>
    <w:p>
      <w:r>
        <w:rPr>
          <w:b/>
          <w:sz w:val="19"/>
        </w:rPr>
        <w:t xml:space="preserve">Übertragbarkeit: </w:t>
      </w:r>
      <w:r>
        <w:rPr>
          <w:sz w:val="19"/>
        </w:rPr>
        <w:t>Dänemark, europäisches Impfprogramm und Bevölkerungsaufbau.</w:t>
      </w:r>
    </w:p>
    <w:p>
      <w:r>
        <w:rPr>
          <w:color w:val="5A7D3A"/>
          <w:sz w:val="18"/>
        </w:rPr>
        <w:t>https://pubmed.ncbi.nlm.nih.gov/42592763/</w:t>
      </w:r>
    </w:p>
    <w:p>
      <w:pPr>
        <w:pStyle w:val="Heading2"/>
      </w:pPr>
      <w:r>
        <w:t>RSV-Impfung bei immungeschwächten Erwachsenen würde Krankheitslast und Kosten in Deutschland senken</w:t>
      </w:r>
    </w:p>
    <w:p>
      <w:r>
        <w:rPr>
          <w:i/>
          <w:color w:val="666666"/>
          <w:sz w:val="18"/>
        </w:rPr>
        <w:t>Quinn E et al.  ·  Expert Rev Vaccines  ·  31.07.2026  ·  PMID 42535735</w:t>
      </w:r>
    </w:p>
    <w:p>
      <w:r>
        <w:t>Kosten-Effektivitätsmodell für RSV-Impfung (RSVpreF) in Deutschland, mit Szenarien für die Erweiterung der STIKO-Empfehlung auf Personen &lt;60 Jahren.</w:t>
      </w:r>
    </w:p>
    <w:p>
      <w:r>
        <w:rPr>
          <w:b/>
        </w:rPr>
        <w:t xml:space="preserve">Ergebnis: </w:t>
      </w:r>
      <w:r>
        <w:t>Gegenwärtig: Empfehlung für 60–74 Jahre und ≥75 Jahre. Erweiterung auf immungeschwächte (IC) Erwachsene 18–59 Jahre würde 6.490 Fälle verhindern, 199 Todesfälle abwenden und 21 Mio. € einsparen. Erweiterung auf IC/chronisch kranke Personen 18–59 Jahre würde 24.545 Fälle und 388 Todesfälle verhindern bei Mehrkosten von 238 Mio. €.</w:t>
      </w:r>
    </w:p>
    <w:p>
      <w:r>
        <w:rPr>
          <w:b/>
          <w:sz w:val="19"/>
        </w:rPr>
        <w:t xml:space="preserve">Übertragbarkeit: </w:t>
      </w:r>
      <w:r>
        <w:rPr>
          <w:sz w:val="19"/>
        </w:rPr>
        <w:t>Deutschland, deutsche Versicherungslogik und STIKO-Struktur.</w:t>
      </w:r>
    </w:p>
    <w:p>
      <w:r>
        <w:rPr>
          <w:color w:val="5A7D3A"/>
          <w:sz w:val="18"/>
        </w:rPr>
        <w:t>https://pubmed.ncbi.nlm.nih.gov/42535735/</w:t>
      </w:r>
    </w:p>
    <w:p>
      <w:pPr>
        <w:pStyle w:val="Heading2"/>
      </w:pPr>
      <w:r>
        <w:t>Schützende Antikörper gegen Röteln bei Katalanischen Medizinstudierenden trotz hoher Impfquoten</w:t>
      </w:r>
    </w:p>
    <w:p>
      <w:r>
        <w:rPr>
          <w:i/>
          <w:color w:val="666666"/>
          <w:sz w:val="18"/>
        </w:rPr>
        <w:t>Benito P et al.  ·  Vaccine  ·  13.08.2026  ·  PMID 42501718</w:t>
      </w:r>
    </w:p>
    <w:p>
      <w:r>
        <w:t>Querschnittsstudie an 235 Medizinstudierenden in vier katalanischen Universitäten zur Röteln-Impfquote und Seroprävalenz von Schutzantikörpern.</w:t>
      </w:r>
    </w:p>
    <w:p>
      <w:r>
        <w:rPr>
          <w:b/>
        </w:rPr>
        <w:t xml:space="preserve">Ergebnis: </w:t>
      </w:r>
      <w:r>
        <w:t>94,5% berichteten vollständige Röteln-Impfung; 84,7% hatten schützende Anti-Röteln-IgG-Antikörper, 6,0% grenzwertig und 9,4% negativ. Vollständig Geimpfte waren signifikant häufiger seropositiv (aOR 4,02; 95% CI 1,14–13,11). Nahezu alle Teilnehmenden bewerteten die MMR-Impfung als sicher und wichtig.</w:t>
      </w:r>
    </w:p>
    <w:p>
      <w:r>
        <w:rPr>
          <w:b/>
          <w:sz w:val="19"/>
        </w:rPr>
        <w:t xml:space="preserve">Übertragbarkeit: </w:t>
      </w:r>
      <w:r>
        <w:rPr>
          <w:sz w:val="19"/>
        </w:rPr>
        <w:t>Spanien, vergleichbares Hochschulsystem und Impfkalender.</w:t>
      </w:r>
    </w:p>
    <w:p>
      <w:r>
        <w:rPr>
          <w:color w:val="5A7D3A"/>
          <w:sz w:val="18"/>
        </w:rPr>
        <w:t>https://pubmed.ncbi.nlm.nih.gov/42501718/</w:t>
      </w:r>
    </w:p>
    <w:p>
      <w:pPr>
        <w:pStyle w:val="Heading2"/>
      </w:pPr>
      <w:r>
        <w:t>Catch-up-Impfquoten nach Beratung bei ukrainischen Kinderflüchtlingen in der Schweiz deutlich verbessert</w:t>
      </w:r>
    </w:p>
    <w:p>
      <w:r>
        <w:rPr>
          <w:i/>
          <w:color w:val="666666"/>
          <w:sz w:val="18"/>
        </w:rPr>
        <w:t>Vaezipour N et al.  ·  Eur J Pediatr  ·  23.07.2026  ·  PMID 42489737</w:t>
      </w:r>
    </w:p>
    <w:p>
      <w:r>
        <w:t>Retrospektive Kohortenstudie bei 517 ukrainischen Kinderflüchtlingen in fünf Schweizer Zentren zur Durchimpfung und Infektionsscreening.</w:t>
      </w:r>
    </w:p>
    <w:p>
      <w:r>
        <w:rPr>
          <w:b/>
        </w:rPr>
        <w:t xml:space="preserve">Ergebnis: </w:t>
      </w:r>
      <w:r>
        <w:t>Bei Ankunft 71–82% altersentsprechend geimpft gegen Masern, Diphtherie-Tetanus-Pertussis, Poliomyelitis und Haemophilus influenzae b; Hauptgrund für Lücken war Impfskepsis. Nach Impfberatung/Catch-up-Programme: 98% (509/517) vollständig geimpft. Infektionsscreening-Positivraten niedrig: HIV 2,7%, Hepatitis B 1,6%, Tuberkulose 1,0%.</w:t>
      </w:r>
    </w:p>
    <w:p>
      <w:r>
        <w:rPr>
          <w:b/>
          <w:sz w:val="19"/>
        </w:rPr>
        <w:t xml:space="preserve">Übertragbarkeit: </w:t>
      </w:r>
      <w:r>
        <w:rPr>
          <w:sz w:val="19"/>
        </w:rPr>
        <w:t>Schweiz, vergleichbares Versicherungssystem und Versorgungsauftrag.</w:t>
      </w:r>
    </w:p>
    <w:p>
      <w:r>
        <w:rPr>
          <w:color w:val="5A7D3A"/>
          <w:sz w:val="18"/>
        </w:rPr>
        <w:t>https://pubmed.ncbi.nlm.nih.gov/42489737/</w:t>
      </w:r>
    </w:p>
    <w:p>
      <w:pPr>
        <w:pStyle w:val="Heading2"/>
      </w:pPr>
      <w:r>
        <w:t>Impfdurchbrüche mit Pneumokokken-Serotyp 3 trotz hoher PCV13-Abdeckung bei Kindern</w:t>
      </w:r>
    </w:p>
    <w:p>
      <w:r>
        <w:rPr>
          <w:i/>
          <w:color w:val="666666"/>
          <w:sz w:val="18"/>
        </w:rPr>
        <w:t>Ciruela P et al.  ·  Vaccine  ·  13.08.2026  ·  PMID 42486053</w:t>
      </w:r>
    </w:p>
    <w:p>
      <w:r>
        <w:t>Retrospektive Beobachtungsstudie zu invasiven Pneumokokken-Erkrankungen bei 206 PCV13-geimpften Kindern in Katalonien 2018–2023 mit Impfquoten &gt;96%.</w:t>
      </w:r>
    </w:p>
    <w:p>
      <w:r>
        <w:rPr>
          <w:b/>
        </w:rPr>
        <w:t xml:space="preserve">Ergebnis: </w:t>
      </w:r>
      <w:r>
        <w:t>48,0% vollständig Geimpfter (n=177) zeigten Impfversagen, vorwiegend durch Serotyp 3 (84,7% der Fälle). Im Vergleich zur Vor-PCV13-Ära war der Schutz länger haltbar, aber der Anteil von Serotyp-3-Durchbrüchen blieb erheblich. Ausschluss von Serotyp 3 senkte die Impfversagensrate von 48,0% auf 12,4%.</w:t>
      </w:r>
    </w:p>
    <w:p>
      <w:r>
        <w:rPr>
          <w:b/>
          <w:sz w:val="19"/>
        </w:rPr>
        <w:t xml:space="preserve">Übertragbarkeit: </w:t>
      </w:r>
      <w:r>
        <w:rPr>
          <w:sz w:val="19"/>
        </w:rPr>
        <w:t>Spanien, vergleichbares Impfprogramm und Surveillance-System.</w:t>
      </w:r>
    </w:p>
    <w:p>
      <w:r>
        <w:rPr>
          <w:color w:val="5A7D3A"/>
          <w:sz w:val="18"/>
        </w:rPr>
        <w:t>https://pubmed.ncbi.nlm.nih.gov/42486053/</w:t>
      </w:r>
    </w:p>
    <w:p>
      <w:pPr>
        <w:pStyle w:val="Heading1"/>
      </w:pPr>
      <w:r>
        <w:t>Aufgenommen am 29.08.2026</w:t>
      </w:r>
    </w:p>
    <w:p>
      <w:pPr>
        <w:pStyle w:val="Heading2"/>
      </w:pPr>
      <w:r>
        <w:t>Dezentralisierte CAR-T-Zelltherapie: Phase-1-Sicherheit und Machbarkeit</w:t>
      </w:r>
    </w:p>
    <w:p>
      <w:r>
        <w:rPr>
          <w:i/>
          <w:color w:val="666666"/>
          <w:sz w:val="18"/>
        </w:rPr>
        <w:t>Kersten MJ et al.  ·  Lancet Haematol  ·  Sept. 2026  ·  PMID 42660131</w:t>
      </w:r>
    </w:p>
    <w:p>
      <w:r>
        <w:t>Phase-1-Dosis-Eskalationsstudie der dezentralisierten Fertigung von CD19-CAR-T-Zellen (GLPG5101) bei 24 Patienten mit rezidiviertem/refraktärem B-Zell-Non-Hodgkin-Lymphom in Niederlanden und Belgien (März 2022–September 2024).</w:t>
      </w:r>
    </w:p>
    <w:p>
      <w:r>
        <w:rPr>
          <w:b/>
        </w:rPr>
        <w:t xml:space="preserve">Ergebnis: </w:t>
      </w:r>
      <w:r>
        <w:t>Fünf dosislimitierende Toxizitäten berichtet: Grad-3-Thrombozytopenie (n=1), Tod durch intra-abdominale Blutung (n=1), Grad-4-Neutropenie (n=3). Vier therapiebedingte Todesfälle insgesamt. Empfohlene Phase-2-Dosis: 110 × 10⁶ (Bereich 50–110 × 10⁶) CAR⁺-T-Zellen. Studie zeigte Machbarkeit schneller dezentralisierter Fertigung und Lieferung.</w:t>
      </w:r>
    </w:p>
    <w:p>
      <w:r>
        <w:rPr>
          <w:b/>
          <w:sz w:val="19"/>
        </w:rPr>
        <w:t xml:space="preserve">Übertragbarkeit: </w:t>
      </w:r>
      <w:r>
        <w:rPr>
          <w:sz w:val="19"/>
        </w:rPr>
        <w:t>Niederlande/Belgien, dezentralisierte Herstellung lokal lösbar, aber CAR-T grundsätzlich komplexes spezialisiertes Therapieverfahren</w:t>
      </w:r>
    </w:p>
    <w:p>
      <w:r>
        <w:rPr>
          <w:color w:val="5A7D3A"/>
          <w:sz w:val="18"/>
        </w:rPr>
        <w:t>https://pubmed.ncbi.nlm.nih.gov/42660131/</w:t>
      </w:r>
    </w:p>
    <w:p>
      <w:pPr>
        <w:pStyle w:val="Heading2"/>
      </w:pPr>
      <w:r>
        <w:t>Pränatalintervention für Impfakzeptanz durch Bürgerbeteiligung entwickelt</w:t>
      </w:r>
    </w:p>
    <w:p>
      <w:r>
        <w:rPr>
          <w:i/>
          <w:color w:val="666666"/>
          <w:sz w:val="18"/>
        </w:rPr>
        <w:t>McCarron SA et al.  ·  Health Expect  ·  Aug. 2026  ·  PMID 42550057</w:t>
      </w:r>
    </w:p>
    <w:p>
      <w:r>
        <w:t>Partizipative Entwicklung einer Antenatalintervention zur Förderung der Impfakzeptanz in Nordirland mit Eltern, Patienten und Öffentlichkeit (Maternity Service Liaison Committee, Sure Start-Programme, aufsuchende Klinik für Ostriesische Gemeinde).</w:t>
      </w:r>
    </w:p>
    <w:p>
      <w:r>
        <w:rPr>
          <w:b/>
        </w:rPr>
        <w:t xml:space="preserve">Ergebnis: </w:t>
      </w:r>
      <w:r>
        <w:t>Input von Eltern und Gemeindevertreter prägte Inhalt, Timing und Präsentation der Impfinformation. Wichtigste Erkenntnisse: klare, einfache Sprachinformation früh in der Schwangerschaft erforderlich, Informationen müssen an verschiedene Bedürfnisse zugeschnitten werden. Vertrauen in etablierte Netzwerke unterstützte Engagement mit unterrepräsentierten Gruppen.</w:t>
      </w:r>
    </w:p>
    <w:p>
      <w:r>
        <w:rPr>
          <w:b/>
          <w:sz w:val="19"/>
        </w:rPr>
        <w:t xml:space="preserve">Übertragbarkeit: </w:t>
      </w:r>
      <w:r>
        <w:rPr>
          <w:sz w:val="19"/>
        </w:rPr>
        <w:t>UK-System; Methode der Bürgerbeteiligung übertragbar, aber Antenatalstrukturen unterscheiden sich</w:t>
      </w:r>
    </w:p>
    <w:p>
      <w:r>
        <w:rPr>
          <w:color w:val="5A7D3A"/>
          <w:sz w:val="18"/>
        </w:rPr>
        <w:t>https://pubmed.ncbi.nlm.nih.gov/42550057/</w:t>
      </w:r>
    </w:p>
    <w:p>
      <w:pPr>
        <w:pStyle w:val="Heading2"/>
      </w:pPr>
      <w:r>
        <w:t>Mpox-Impfstoff Jynneos: Sicherheitsprofil während Ausbruch in Deutschland bestätigt</w:t>
      </w:r>
    </w:p>
    <w:p>
      <w:r>
        <w:rPr>
          <w:i/>
          <w:color w:val="666666"/>
          <w:sz w:val="18"/>
        </w:rPr>
        <w:t>Oberle D et al.  ·  Euro Surveill  ·  Juli 2026  ·  PMID 42535289</w:t>
      </w:r>
    </w:p>
    <w:p>
      <w:r>
        <w:t>Überwachung unerwünschter Ereignisse nach MVA-BN-Impfung gegen Mpox in Deutschland Juni 2022 bis Februar 2024 bei 78.739 verabreichten Dosen.</w:t>
      </w:r>
    </w:p>
    <w:p>
      <w:r>
        <w:rPr>
          <w:b/>
        </w:rPr>
        <w:t xml:space="preserve">Ergebnis: </w:t>
      </w:r>
      <w:r>
        <w:t>32 Einzelfallberichte wurden identifiziert, davon 7 schwerwiegend; 87 unerwünschte Ereignisse insgesamt gemeldet (98,7 pro 100.000 Dosen adjustiert). Das Sicherheitsprofil entsprach der Produktcharakterisierung; keine neuen Sicherheitssignale wurden identifiziert. Lokale und systemische Reaktionen waren überwiegend mild bis moderat.</w:t>
      </w:r>
    </w:p>
    <w:p>
      <w:r>
        <w:rPr>
          <w:b/>
          <w:sz w:val="19"/>
        </w:rPr>
        <w:t xml:space="preserve">Übertragbarkeit: </w:t>
      </w:r>
      <w:r>
        <w:rPr>
          <w:sz w:val="19"/>
        </w:rPr>
        <w:t>Deutschland, eigenes Surveillancesystem, direkt übertragbar</w:t>
      </w:r>
    </w:p>
    <w:p>
      <w:r>
        <w:rPr>
          <w:color w:val="5A7D3A"/>
          <w:sz w:val="18"/>
        </w:rPr>
        <w:t>https://pubmed.ncbi.nlm.nih.gov/42535289/</w:t>
      </w:r>
    </w:p>
    <w:p>
      <w:pPr>
        <w:pStyle w:val="Heading2"/>
      </w:pPr>
      <w:r>
        <w:t>Determinanten der Influenza- und COVID-19-Impfquoten bei Hochrisikopatienten</w:t>
      </w:r>
    </w:p>
    <w:p>
      <w:r>
        <w:rPr>
          <w:i/>
          <w:color w:val="666666"/>
          <w:sz w:val="18"/>
        </w:rPr>
        <w:t>Grape L et al.  ·  Hum Vaccin Immunother  ·  28.07.2026  ·  PMID 42518305</w:t>
      </w:r>
    </w:p>
    <w:p>
      <w:r>
        <w:t>Querschnittsstudie mit semistandardisierten Interviews und Patientenakten bei 600 Notaufnahme-Patienten in Nordschweden zur Identifikation von Impfquoten und Barrieren bei Hochrisikogruppen.</w:t>
      </w:r>
    </w:p>
    <w:p>
      <w:r>
        <w:rPr>
          <w:b/>
        </w:rPr>
        <w:t xml:space="preserve">Ergebnis: </w:t>
      </w:r>
      <w:r>
        <w:t>Quote unter berechtigten Personen: 52,0% für Influenza, 54,2% für COVID-19. Koinfektion beider Impfstoffe hoch (aOR 55,33). Männliches Geschlecht (aOR 0,57), jüngeres Alter (aOR 0,50), Rauchen (aOR 0,43) und nur altersbasierte Berechtigung (aOR 0,41) waren mit niedriger Impfakzeptanz assoziiert. Gemeindeebene-Determinanten zeigten wenig Einfluss.</w:t>
      </w:r>
    </w:p>
    <w:p>
      <w:r>
        <w:rPr>
          <w:b/>
          <w:sz w:val="19"/>
        </w:rPr>
        <w:t xml:space="preserve">Übertragbarkeit: </w:t>
      </w:r>
      <w:r>
        <w:rPr>
          <w:sz w:val="19"/>
        </w:rPr>
        <w:t>Skandinavien, deutsches Versicherungssystem ähnlich, aber Datenquellen und Populationsmerkmale unterscheiden sich</w:t>
      </w:r>
    </w:p>
    <w:p>
      <w:r>
        <w:rPr>
          <w:color w:val="5A7D3A"/>
          <w:sz w:val="18"/>
        </w:rPr>
        <w:t>https://pubmed.ncbi.nlm.nih.gov/42518305/</w:t>
      </w:r>
    </w:p>
    <w:p>
      <w:pPr>
        <w:pStyle w:val="Heading2"/>
      </w:pPr>
      <w:r>
        <w:t>Null-Dosis-Kinder in Madagaskar identifizieren und erreichen</w:t>
      </w:r>
    </w:p>
    <w:p>
      <w:r>
        <w:rPr>
          <w:i/>
          <w:color w:val="666666"/>
          <w:sz w:val="18"/>
        </w:rPr>
        <w:t>Muller N et al.  ·  Bull World Health Organ  ·  01.08.2026  ·  PMID 42516117</w:t>
      </w:r>
    </w:p>
    <w:p>
      <w:r>
        <w:t>Gemeindegestützte Erhebung zur Ermittlung von Kindern ohne DTP-Impfdokumentation in 16 südmadagassischen Distrikten (August 2024–Juni 2025) mit 3.975 ausgebildeten Gemeindegesundheitshelfern und digitalen Werkzeugen.</w:t>
      </w:r>
    </w:p>
    <w:p>
      <w:r>
        <w:rPr>
          <w:b/>
        </w:rPr>
        <w:t xml:space="preserve">Ergebnis: </w:t>
      </w:r>
      <w:r>
        <w:t>81% der fokontanys (3.538/4.347) aktualisierten Register. Von 368.227 erfassten Kindern unter 5 Jahren hatten 58% (213.173) keine dokumentierte DTP-Dosis. Distriktweite Prävalenz von Null-Dosis-Kindern lag zwischen 25% und 86%. 42.700 Null-Dosis-Kinder wurden mit DTP geimpft und übertrafen Programmziel vorzeitig.</w:t>
      </w:r>
    </w:p>
    <w:p>
      <w:r>
        <w:rPr>
          <w:b/>
          <w:sz w:val="19"/>
        </w:rPr>
        <w:t xml:space="preserve">Übertragbarkeit: </w:t>
      </w:r>
      <w:r>
        <w:rPr>
          <w:sz w:val="19"/>
        </w:rPr>
        <w:t>Afrikanisches Setting; Digitale Hilfsmittel und Community-Engagement lokal anpassbar, aber Registrierungsinfrastruktur grundverschieden von Deutschland</w:t>
      </w:r>
    </w:p>
    <w:p>
      <w:r>
        <w:rPr>
          <w:color w:val="5A7D3A"/>
          <w:sz w:val="18"/>
        </w:rPr>
        <w:t>https://pubmed.ncbi.nlm.nih.gov/42516117/</w:t>
      </w:r>
    </w:p>
    <w:p>
      <w:pPr>
        <w:pStyle w:val="Heading2"/>
      </w:pPr>
      <w:r>
        <w:t>Impfskepsis im Kriegsgebiet Ukraine: Verhaltensmodellierung von Umfragedaten</w:t>
      </w:r>
    </w:p>
    <w:p>
      <w:r>
        <w:rPr>
          <w:i/>
          <w:color w:val="666666"/>
          <w:sz w:val="18"/>
        </w:rPr>
        <w:t>Naeem A et al.  ·  Health Policy  ·  17.07.2026  ·  PMID 42508188</w:t>
      </w:r>
    </w:p>
    <w:p>
      <w:r>
        <w:t>Agent-basierte Modellierung (ABM) von Impfverhalten in der konfliktbetroffenen Ukraine basierend auf Querschnittsbefragung in 557 Hromadas unter laufendem Krieg; Simulation der Wechselwirkung zwischen Verhaltens-, Struktur- und Sozialvariablen.</w:t>
      </w:r>
    </w:p>
    <w:p>
      <w:r>
        <w:rPr>
          <w:b/>
        </w:rPr>
        <w:t xml:space="preserve">Ergebnis: </w:t>
      </w:r>
      <w:r>
        <w:t>ABM zeigte, dass Impfakzeptanz durch Wechselspiel von Zugangsbarrieren und Peereinfluss gesteuert wird. Glaubenswechsel erreichten 88%; Vakzinierungsquote stieg um 3–15% durch Zugangsbeseitigung. Peer-Dynamiken erhöhten Impfquoten auf 69–89%. Peer-Konformität war dominanter Treiber, was auf Kollektivmechanismus zwischen Sozialsteckung und Verhaltensadoption hindeutet.</w:t>
      </w:r>
    </w:p>
    <w:p>
      <w:r>
        <w:rPr>
          <w:b/>
          <w:sz w:val="19"/>
        </w:rPr>
        <w:t xml:space="preserve">Übertragbarkeit: </w:t>
      </w:r>
      <w:r>
        <w:rPr>
          <w:sz w:val="19"/>
        </w:rPr>
        <w:t>Konfliktzone, begrenzt auf Kriegssituationen übertragbar; Methodologie der Verhaltensmodellierung relevant</w:t>
      </w:r>
    </w:p>
    <w:p>
      <w:r>
        <w:rPr>
          <w:color w:val="5A7D3A"/>
          <w:sz w:val="18"/>
        </w:rPr>
        <w:t>https://pubmed.ncbi.nlm.nih.gov/42508188/</w:t>
      </w:r>
    </w:p>
    <w:p>
      <w:pPr>
        <w:pStyle w:val="Heading2"/>
      </w:pPr>
      <w:r>
        <w:t>XBB.1.5-Impfstoff gegen schwere COVID-19 bei immungeschwächten Erwachsenen</w:t>
      </w:r>
    </w:p>
    <w:p>
      <w:r>
        <w:rPr>
          <w:i/>
          <w:color w:val="666666"/>
          <w:sz w:val="18"/>
        </w:rPr>
        <w:t>Blake A et al.  ·  Expert Rev Vaccines  ·  31.12.2026  ·  PMID 42504085</w:t>
      </w:r>
    </w:p>
    <w:p>
      <w:r>
        <w:t>Retrospektive multländer-Kohortenstudie mit elektronischen Gesundheitsakten in Belgien, Dänemark, Italien, Portugal, Spanien (Navarra) und Schweden zur Wirksamkeit des angepassten XBB.1.5-Impfstoffs gegen Hospitalisierung und Tod bei Immungeschwächten (ICPs).</w:t>
      </w:r>
    </w:p>
    <w:p>
      <w:r>
        <w:rPr>
          <w:b/>
        </w:rPr>
        <w:t xml:space="preserve">Ergebnis: </w:t>
      </w:r>
      <w:r>
        <w:t>XBB.1.5-Impfstoffwirksamkeit (VE) betrug 52% (95%-KI 41–60) gegen Hospitalisierung und 75% (95%-KI 60–84) gegen Tod in den ersten 14–59 Tagen nach Impfung. VE nahm mit zeitlichem Abstand ab; kein Schutz mehr nach 180–365 Tagen. Moderate Schutzwirkung innerhalb von 120 Tagen beobachtet.</w:t>
      </w:r>
    </w:p>
    <w:p>
      <w:r>
        <w:rPr>
          <w:b/>
          <w:sz w:val="19"/>
        </w:rPr>
        <w:t xml:space="preserve">Übertragbarkeit: </w:t>
      </w:r>
      <w:r>
        <w:rPr>
          <w:sz w:val="19"/>
        </w:rPr>
        <w:t>Europäische EHR-Netzwerk; vergleichbare Gesundheitssysteme (Belgien, Dänemark, Schweden, südliche EU)</w:t>
      </w:r>
    </w:p>
    <w:p>
      <w:r>
        <w:rPr>
          <w:color w:val="5A7D3A"/>
          <w:sz w:val="18"/>
        </w:rPr>
        <w:t>https://pubmed.ncbi.nlm.nih.gov/42504085/</w:t>
      </w:r>
    </w:p>
    <w:p>
      <w:pPr>
        <w:pStyle w:val="Heading1"/>
      </w:pPr>
      <w:r>
        <w:t>Aufgenommen am 28.08.2026</w:t>
      </w:r>
    </w:p>
    <w:p>
      <w:pPr>
        <w:pStyle w:val="Heading2"/>
      </w:pPr>
      <w:r>
        <w:t>Influenza-Impfung reduziert Todesfälle bei hospitalisiertem älteren Alter</w:t>
      </w:r>
    </w:p>
    <w:p>
      <w:r>
        <w:rPr>
          <w:i/>
          <w:color w:val="666666"/>
          <w:sz w:val="18"/>
        </w:rPr>
        <w:t>Marques DFP et al.  ·  Expert Rev Vaccines  ·  27.08.2026  ·  PMID 42657682</w:t>
      </w:r>
    </w:p>
    <w:p>
      <w:r>
        <w:t>Retrospektive Kohortenstudie aus dem europäischen I-MOVE-Netzwerk untersuchte die Assoziation zwischen Influenza-Impfung und schweren Outcomes bei ≥65-jährigen mit laborbestätigter Influenza (2015/16–2024/25).</w:t>
      </w:r>
    </w:p>
    <w:p>
      <w:r>
        <w:rPr>
          <w:b/>
        </w:rPr>
        <w:t xml:space="preserve">Ergebnis: </w:t>
      </w:r>
      <w:r>
        <w:t>Bei 4.257 Patienten zeigte Impfung wenig Assoziation mit ICU-Aufnahmen (RRR 11 %, 95% CI: -21–34), aber war mit 26-prozentiger Reduktion der Todesfälle während Hospitalisierung assoziiert (95% CI: 3–43). In der älteren Gruppe ≥80 Jahre betrug die Reduktion der In-Hospital-Mortalität 29%.</w:t>
      </w:r>
    </w:p>
    <w:p>
      <w:r>
        <w:rPr>
          <w:b/>
          <w:sz w:val="19"/>
        </w:rPr>
        <w:t xml:space="preserve">Übertragbarkeit: </w:t>
      </w:r>
      <w:r>
        <w:rPr>
          <w:sz w:val="19"/>
        </w:rPr>
        <w:t>Europäische Klinikdaten, vergleichbare Dokumentationspflichten, direkt auf Deutschland übertragbar.</w:t>
      </w:r>
    </w:p>
    <w:p>
      <w:r>
        <w:rPr>
          <w:color w:val="5A7D3A"/>
          <w:sz w:val="18"/>
        </w:rPr>
        <w:t>https://pubmed.ncbi.nlm.nih.gov/42657682/</w:t>
      </w:r>
    </w:p>
    <w:p>
      <w:pPr>
        <w:pStyle w:val="Heading2"/>
      </w:pPr>
      <w:r>
        <w:t>Unregistrierte Migranten-Kinder unterimpft: Rechtszugang ist zentral</w:t>
      </w:r>
    </w:p>
    <w:p>
      <w:r>
        <w:rPr>
          <w:i/>
          <w:color w:val="666666"/>
          <w:sz w:val="18"/>
        </w:rPr>
        <w:t>Oo SM et al.  ·  Med Sci (Basel)  ·  02.08.2026  ·  PMID 42646586</w:t>
      </w:r>
    </w:p>
    <w:p>
      <w:r>
        <w:t>Querschnittstudie mit 423 burmesischen Migrantenkinder unter 7 Jahren in Nord-Thailand; Faktoren für unvollständige Impfungen wurden gemessen (2025).</w:t>
      </w:r>
    </w:p>
    <w:p>
      <w:r>
        <w:rPr>
          <w:b/>
        </w:rPr>
        <w:t xml:space="preserve">Ergebnis: </w:t>
      </w:r>
      <w:r>
        <w:t>21,5 % waren unterimpft. Unabhängige Risikofaktoren: Fehlen von Geburtsregistrierung (aOR 9,52, 95% CI 3,74–24,27), fehlende Krankenversicherung (aOR 14,03, 95% CI 6,45–30,54), Rückkehr-Migration (aOR 19,05, 95% CI 8,48–44,13), Zeitbarrieren (aOR 4,09, 95% CI 1,20–13,94) und finanzielle Barrieren (aOR 7,07, 95% CI 1,67–29,91).</w:t>
      </w:r>
    </w:p>
    <w:p>
      <w:r>
        <w:rPr>
          <w:b/>
          <w:sz w:val="19"/>
        </w:rPr>
        <w:t xml:space="preserve">Übertragbarkeit: </w:t>
      </w:r>
      <w:r>
        <w:rPr>
          <w:sz w:val="19"/>
        </w:rPr>
        <w:t>Thailand; zeigt strukturelle Hürden bei Migranten; relevante Erkenntnisse für Deutschland bei Flucht und Asyl.</w:t>
      </w:r>
    </w:p>
    <w:p>
      <w:r>
        <w:rPr>
          <w:color w:val="5A7D3A"/>
          <w:sz w:val="18"/>
        </w:rPr>
        <w:t>https://pubmed.ncbi.nlm.nih.gov/42646586/</w:t>
      </w:r>
    </w:p>
    <w:p>
      <w:pPr>
        <w:pStyle w:val="Heading2"/>
      </w:pPr>
      <w:r>
        <w:t>Impfskepsis ist stärkste Barriere in fragiler Lage: Somaliisches Feldbeispiel</w:t>
      </w:r>
    </w:p>
    <w:p>
      <w:r>
        <w:rPr>
          <w:i/>
          <w:color w:val="666666"/>
          <w:sz w:val="18"/>
        </w:rPr>
        <w:t>Abdi MS et al.  ·  Front Public Health  ·  11.08.2026  ·  PMID 42643472</w:t>
      </w:r>
    </w:p>
    <w:p>
      <w:r>
        <w:t>Querschnittsbefragung von 384 Betreuungspersonen in IDP-Lagern in Mogadischu nach Diphtherie-Impfkampagne; Einflussfaktoren auf Durchimpfung wurden geprüft (2026).</w:t>
      </w:r>
    </w:p>
    <w:p>
      <w:r>
        <w:rPr>
          <w:b/>
        </w:rPr>
        <w:t xml:space="preserve">Ergebnis: </w:t>
      </w:r>
      <w:r>
        <w:t>Gesamte Impfquote 57,6 %. Höhere Impfbedenken-Scores (Vaccine Safety Concern Scale) waren mit deutlich niedrigerem Impfrisiko assoziiert (aOR 0,72, 95% CI 0,57–0,90). Schulbildung der Eltern, Vertrauen in Gesundheitsarbeiter und wahrgenommener Zugang waren nicht signifikant assoziiert.</w:t>
      </w:r>
    </w:p>
    <w:p>
      <w:r>
        <w:rPr>
          <w:b/>
          <w:sz w:val="19"/>
        </w:rPr>
        <w:t xml:space="preserve">Übertragbarkeit: </w:t>
      </w:r>
      <w:r>
        <w:rPr>
          <w:sz w:val="19"/>
        </w:rPr>
        <w:t>Somaliisch; zeigt, dass Sicherheitsbedenken auch bei fragilen Populationen zentral sind; Lernpunkte für Notfall-Impfkampagnen.</w:t>
      </w:r>
    </w:p>
    <w:p>
      <w:r>
        <w:rPr>
          <w:color w:val="5A7D3A"/>
          <w:sz w:val="18"/>
        </w:rPr>
        <w:t>https://pubmed.ncbi.nlm.nih.gov/42643472/</w:t>
      </w:r>
    </w:p>
    <w:p>
      <w:pPr>
        <w:pStyle w:val="Heading2"/>
      </w:pPr>
      <w:r>
        <w:t>Gesunde-Impfling-Effekt bei COVID-19-Vakzine in älteren Gruppen</w:t>
      </w:r>
    </w:p>
    <w:p>
      <w:r>
        <w:rPr>
          <w:i/>
          <w:color w:val="666666"/>
          <w:sz w:val="18"/>
        </w:rPr>
        <w:t>Lyth J et al.  ·  Nat Commun  ·  08.08.2026  ·  PMID 42570961</w:t>
      </w:r>
    </w:p>
    <w:p>
      <w:r>
        <w:t>Schwedenweite Kohortenstudie in Bevölkerung ≥65 Jahren untersuchte die Effektivität der 2024–2025 JN.1-adaptierten COVID-19-Vakzine gegen Hospitalisierung und als Negativkontrolle All-Cause-Mortalität (N=245.696, Oktober 2024–März 2025).</w:t>
      </w:r>
    </w:p>
    <w:p>
      <w:r>
        <w:rPr>
          <w:b/>
        </w:rPr>
        <w:t xml:space="preserve">Ergebnis: </w:t>
      </w:r>
      <w:r>
        <w:t>VE gegen COVID-Hospitalisierung 75 % (95% CI 70–79 %), bei Vorimpfung 2023–24 sogar 84 % (95% CI 80–87 %). Kritisch: All-Cause-Mortalität (Negativkontrolle) war in der geimpften Gruppe um 57 % niedriger (HR 0,43, 95% CI 0,40–0,45), was auf Selektionseffekte durch Frailty hindeutet.</w:t>
      </w:r>
    </w:p>
    <w:p>
      <w:r>
        <w:rPr>
          <w:b/>
          <w:sz w:val="19"/>
        </w:rPr>
        <w:t xml:space="preserve">Übertragbarkeit: </w:t>
      </w:r>
      <w:r>
        <w:rPr>
          <w:sz w:val="19"/>
        </w:rPr>
        <w:t>Skandinavisch, vergleichbares Versorgungssystem; Befund zu Selektionsverzerrung universell relevant.</w:t>
      </w:r>
    </w:p>
    <w:p>
      <w:r>
        <w:rPr>
          <w:color w:val="5A7D3A"/>
          <w:sz w:val="18"/>
        </w:rPr>
        <w:t>https://pubmed.ncbi.nlm.nih.gov/42570961/</w:t>
      </w:r>
    </w:p>
    <w:p>
      <w:pPr>
        <w:pStyle w:val="Heading2"/>
      </w:pPr>
      <w:r>
        <w:t>Schulungskurs verbessert Wissen von Apothekern zur Impfung</w:t>
      </w:r>
    </w:p>
    <w:p>
      <w:r>
        <w:rPr>
          <w:i/>
          <w:color w:val="666666"/>
          <w:sz w:val="18"/>
        </w:rPr>
        <w:t>Waszkiewicz M et al.  ·  Med Sci Monit  ·  05.08.2026  ·  PMID 42552681</w:t>
      </w:r>
    </w:p>
    <w:p>
      <w:r>
        <w:t>Pre-post-Studie in Polen evaluierte Wissenszuwachs bei Apothekern nach Fortbildung zur Influenza- und Pneumokokken-Impfung (Februar 2024–Juli 2025).</w:t>
      </w:r>
    </w:p>
    <w:p>
      <w:r>
        <w:rPr>
          <w:b/>
        </w:rPr>
        <w:t xml:space="preserve">Ergebnis: </w:t>
      </w:r>
      <w:r>
        <w:t>Unter 327 Absolventen stieg das Testscore signifikant um 4,7 Punkte (Mdiff = –4,67, 95% CI: –4,99 bis –4,34, d = 1,55, p &lt; 0,001). Das entspricht ca. 23 % der maximalen Testscore-Steigerung und wurde als großer Effekt beurteilt.</w:t>
      </w:r>
    </w:p>
    <w:p>
      <w:r>
        <w:rPr>
          <w:b/>
          <w:sz w:val="19"/>
        </w:rPr>
        <w:t xml:space="preserve">Übertragbarkeit: </w:t>
      </w:r>
      <w:r>
        <w:rPr>
          <w:sz w:val="19"/>
        </w:rPr>
        <w:t>Polen hat Apothekern 2024 Impfkompetenz übertragen; strukturiertes Angebot seit kurzem auch in Deutschland möglich.</w:t>
      </w:r>
    </w:p>
    <w:p>
      <w:r>
        <w:rPr>
          <w:color w:val="5A7D3A"/>
          <w:sz w:val="18"/>
        </w:rPr>
        <w:t>https://pubmed.ncbi.nlm.nih.gov/42552681/</w:t>
      </w:r>
    </w:p>
    <w:p>
      <w:pPr>
        <w:pStyle w:val="Heading2"/>
      </w:pPr>
      <w:r>
        <w:t>Schulkrankenschwestern unterverimpfter Gemeinden: HPV-Impfung braucht Systemunterstützung</w:t>
      </w:r>
    </w:p>
    <w:p>
      <w:r>
        <w:rPr>
          <w:i/>
          <w:color w:val="666666"/>
          <w:sz w:val="18"/>
        </w:rPr>
        <w:t>Avermark H et al.  ·  Hum Vaccin Immunother  ·  29.07.2026  ·  PMID 42527395</w:t>
      </w:r>
    </w:p>
    <w:p>
      <w:r>
        <w:t>Qualitative Studie mit 21 Interviews von Schulkrankenschwestern in unterversorgten Stockholmer Stadtteilen zur HPV-Impfung von Jugendlichen (Juni–November 2024).</w:t>
      </w:r>
    </w:p>
    <w:p>
      <w:r>
        <w:rPr>
          <w:b/>
        </w:rPr>
        <w:t xml:space="preserve">Ergebnis: </w:t>
      </w:r>
      <w:r>
        <w:t>Drei Themen: (1) Schulkrankenschwestern tragen HPV-Impfung allein, ohne institutionelle Unterstützung; (2) Duale Verantwortung zwischen Einzelbetreuung und Public Health schafft Rollenkonflikte; (3) Schwierigkeit im Umgang mit Tabuisierung von HPV und Sexualität. Hohe Arbeitsbelastung und normative Vorstellungen zu Sex behindern Uptake.</w:t>
      </w:r>
    </w:p>
    <w:p>
      <w:r>
        <w:rPr>
          <w:b/>
          <w:sz w:val="19"/>
        </w:rPr>
        <w:t xml:space="preserve">Übertragbarkeit: </w:t>
      </w:r>
      <w:r>
        <w:rPr>
          <w:sz w:val="19"/>
        </w:rPr>
        <w:t>Schweden, ähnliches Schulsystem und Impfprogramm; zeigt Systemdefizite bei dezentraler HPV-Angebotsumsetzung.</w:t>
      </w:r>
    </w:p>
    <w:p>
      <w:r>
        <w:rPr>
          <w:color w:val="5A7D3A"/>
          <w:sz w:val="18"/>
        </w:rPr>
        <w:t>https://pubmed.ncbi.nlm.nih.gov/42527395/</w:t>
      </w:r>
    </w:p>
    <w:p>
      <w:pPr>
        <w:pStyle w:val="Heading1"/>
      </w:pPr>
      <w:r>
        <w:t>Aufgenommen am 27.08.2026</w:t>
      </w:r>
    </w:p>
    <w:p>
      <w:pPr>
        <w:pStyle w:val="Heading2"/>
      </w:pPr>
      <w:r>
        <w:t>Finnlands zentrales Impfsystem erreicht hohe Quoten, kämpft aber mit Eigenverantwortung und Chancengerechtigkeit</w:t>
      </w:r>
    </w:p>
    <w:p>
      <w:r>
        <w:rPr>
          <w:i/>
          <w:color w:val="666666"/>
          <w:sz w:val="18"/>
        </w:rPr>
        <w:t>Pattyn J et al.  ·  Hum Vaccin Immunother  ·  26.08.2026  ·  PMID 42647143</w:t>
      </w:r>
    </w:p>
    <w:p>
      <w:r>
        <w:t>Eine strukturierte Literaturanalyse mit Experteneingaben beschrieb Finnlands National Vaccination Program (NVP) für Erwachsene, seine Stärken und Hürden.</w:t>
      </w:r>
    </w:p>
    <w:p>
      <w:r>
        <w:rPr>
          <w:b/>
        </w:rPr>
        <w:t xml:space="preserve">Ergebnis: </w:t>
      </w:r>
      <w:r>
        <w:t>Finnlands zentralisiertes, kostenlos bereitgestelltes NVP mit Bevölkerungsregistern erlaubt präzise Monitoring von Abdeckung, Sicherheit und Wirkung. Herausforderungen: Impfung ist individuelle Verantwortung (Compliance-Problem), Kosten für nicht-NVP-Impfstoffe erzeugen Ungleichheit, Impfvertrauen leicht rückläufig. Die CUBE wurde gegründet, um Verhaltensbarrieren zu verstehen.</w:t>
      </w:r>
    </w:p>
    <w:p>
      <w:r>
        <w:rPr>
          <w:b/>
          <w:sz w:val="19"/>
        </w:rPr>
        <w:t xml:space="preserve">Übertragbarkeit: </w:t>
      </w:r>
      <w:r>
        <w:rPr>
          <w:sz w:val="19"/>
        </w:rPr>
        <w:t>skandinavisch mit Impfregister; zeigt Möglichkeiten und Limits zentralisierter Systeme.</w:t>
      </w:r>
    </w:p>
    <w:p>
      <w:r>
        <w:rPr>
          <w:color w:val="5A7D3A"/>
          <w:sz w:val="18"/>
        </w:rPr>
        <w:t>https://pubmed.ncbi.nlm.nih.gov/42647143/</w:t>
      </w:r>
    </w:p>
    <w:p>
      <w:pPr>
        <w:pStyle w:val="Heading2"/>
      </w:pPr>
      <w:r>
        <w:t>HPV-Wissen und Vertrauen in Gesundheitsbehörden prägen Impfbereitschaft in Rumänien</w:t>
      </w:r>
    </w:p>
    <w:p>
      <w:r>
        <w:rPr>
          <w:i/>
          <w:color w:val="666666"/>
          <w:sz w:val="18"/>
        </w:rPr>
        <w:t>Nati ID et al.  ·  Med Sci (Basel)  ·  25.07.2026  ·  PMID 42646566</w:t>
      </w:r>
    </w:p>
    <w:p>
      <w:r>
        <w:t>Eine rumänische Querschnittsumfrage untersuchte kognitive und institutionelle Faktoren für HPV-Impfbereitschaft bei erwachsenen Frauen.</w:t>
      </w:r>
    </w:p>
    <w:p>
      <w:r>
        <w:rPr>
          <w:b/>
        </w:rPr>
        <w:t xml:space="preserve">Ergebnis: </w:t>
      </w:r>
      <w:r>
        <w:t>Unter 368 Befragten lag die Impfquote nur bei 28,6 %. Hohes HPV-Wissen korrelierte mit Impfbereitschaft (p=0,001), ebenso Vertrauen in Behörden. Digitale Fehlinformation zeigte schwachen negativen Zusammenhang mit Wissen, beeinflusste aber Impfbereitschaft nicht direkt. Die Autoren empfehlen Übergang von optionalem zu aktivem Angebot (Opt-out-Modell).</w:t>
      </w:r>
    </w:p>
    <w:p>
      <w:r>
        <w:rPr>
          <w:b/>
          <w:sz w:val="19"/>
        </w:rPr>
        <w:t xml:space="preserve">Übertragbarkeit: </w:t>
      </w:r>
      <w:r>
        <w:rPr>
          <w:sz w:val="19"/>
        </w:rPr>
        <w:t>Süd-/Osteuropa mit ähnlicher administrativer Struktur; zeigt Wirkung von Vertrauen und Struktur.</w:t>
      </w:r>
    </w:p>
    <w:p>
      <w:r>
        <w:rPr>
          <w:color w:val="5A7D3A"/>
          <w:sz w:val="18"/>
        </w:rPr>
        <w:t>https://pubmed.ncbi.nlm.nih.gov/42646566/</w:t>
      </w:r>
    </w:p>
    <w:p>
      <w:pPr>
        <w:pStyle w:val="Heading2"/>
      </w:pPr>
      <w:r>
        <w:t>Lesbarer Weblink in digitalen Impfeinladungen erhöht Vertrauen und Buchungsbereitschaft</w:t>
      </w:r>
    </w:p>
    <w:p>
      <w:r>
        <w:rPr>
          <w:i/>
          <w:color w:val="666666"/>
          <w:sz w:val="18"/>
        </w:rPr>
        <w:t>Oakley CM et al.  ·  J Med Internet Res  ·  25.08.2026  ·  PMID 42640841</w:t>
      </w:r>
    </w:p>
    <w:p>
      <w:r>
        <w:t>Drei randomisierte Onlinestudien mit britischen Teilnehmern testeten, wie das Design von Web-Links in digitalen COVID-19-Impfeinladungen Vertrauen und Buchungsbereitschaft beeinflusst.</w:t>
      </w:r>
    </w:p>
    <w:p>
      <w:r>
        <w:rPr>
          <w:b/>
        </w:rPr>
        <w:t xml:space="preserve">Ergebnis: </w:t>
      </w:r>
      <w:r>
        <w:t>Im Kontrollarm (komplizierter Link) waren 63 % unsicher oder unwillig, ihn zu nutzen. Ein klarer Link (‚vaccine-booking.nhs.uk') verbesserte das Vertrauen (β=0,26 in Exp.1, β=0,24 in Exp.3), ebenso ein Text-eingebetteter Link (β=0,18 in Exp.2, β=0,17 in Exp.3). Ein verkürzter Link brachte keinen Gewinn. Einfache, erkennbare Links erhöhten Buchungsintention über verbessertes Vertrauen und Host-Erkennung.</w:t>
      </w:r>
    </w:p>
    <w:p>
      <w:r>
        <w:rPr>
          <w:b/>
          <w:sz w:val="19"/>
        </w:rPr>
        <w:t xml:space="preserve">Übertragbarkeit: </w:t>
      </w:r>
      <w:r>
        <w:rPr>
          <w:sz w:val="19"/>
        </w:rPr>
        <w:t>Großbritannien; einfache Designprinzipien auch für deutsches Portal- und E-Mail-System anwendbar.</w:t>
      </w:r>
    </w:p>
    <w:p>
      <w:r>
        <w:rPr>
          <w:color w:val="5A7D3A"/>
          <w:sz w:val="18"/>
        </w:rPr>
        <w:t>https://pubmed.ncbi.nlm.nih.gov/42640841/</w:t>
      </w:r>
    </w:p>
    <w:p>
      <w:pPr>
        <w:pStyle w:val="Heading2"/>
      </w:pPr>
      <w:r>
        <w:t>Schwere Nebenwirkungen nach COVID-19-Auffrischung vermindern die Bereitschaft zur erneuten Impfung</w:t>
      </w:r>
    </w:p>
    <w:p>
      <w:r>
        <w:rPr>
          <w:i/>
          <w:color w:val="666666"/>
          <w:sz w:val="18"/>
        </w:rPr>
        <w:t>Huiberts AJ et al.  ·  Vaccine  ·  17.09.2026  ·  PMID 42603508</w:t>
      </w:r>
    </w:p>
    <w:p>
      <w:r>
        <w:t>Eine niederländische Kohortenstudie untersuchte, ob das Auftreten und die Schwere von Nebenwirkungen nach COVID-19-Auffrischimpfungen die Bereitschaft zur Impfung im Folgejahr beeinflussen.</w:t>
      </w:r>
    </w:p>
    <w:p>
      <w:r>
        <w:rPr>
          <w:b/>
        </w:rPr>
        <w:t xml:space="preserve">Ergebnis: </w:t>
      </w:r>
      <w:r>
        <w:t>Von 11.010 Geimpften (2022) waren 73,7 % im nächsten Jahr erneut geimpft. Systémische Nebenwirkungen 2022 waren mit niedrigerem Risiko für Wiederimpfung 2023 verbunden (OR 0,84, 95%-KI 0,76–0,93), besonders bei mittleren (OR 0,79) oder schweren Ereignissen (OR 0,45) sowie Dauer &gt;5 Tagen (OR 0,72). Das Muster wiederholte sich für 2024. Dies zeigt, dass direkte Erfahrungen mit Nebenwirkungen künftige Impfbereitschaft senken.</w:t>
      </w:r>
    </w:p>
    <w:p>
      <w:r>
        <w:rPr>
          <w:b/>
          <w:sz w:val="19"/>
        </w:rPr>
        <w:t xml:space="preserve">Übertragbarkeit: </w:t>
      </w:r>
      <w:r>
        <w:rPr>
          <w:sz w:val="19"/>
        </w:rPr>
        <w:t>Niederlande mit Impfregister; deutsche Routinedaten vergleichbar.</w:t>
      </w:r>
    </w:p>
    <w:p>
      <w:r>
        <w:rPr>
          <w:color w:val="5A7D3A"/>
          <w:sz w:val="18"/>
        </w:rPr>
        <w:t>https://pubmed.ncbi.nlm.nih.gov/42603508/</w:t>
      </w:r>
    </w:p>
    <w:p>
      <w:pPr>
        <w:pStyle w:val="Heading2"/>
      </w:pPr>
      <w:r>
        <w:t>Messaging zu ‚gesundem Altern' erhöht Impfbereitschaft bei älteren Erwachsenen in Frankreich</w:t>
      </w:r>
    </w:p>
    <w:p>
      <w:r>
        <w:rPr>
          <w:i/>
          <w:color w:val="666666"/>
          <w:sz w:val="18"/>
        </w:rPr>
        <w:t>Addario A et al.  ·  Vaccine  ·  17.09.2026  ·  PMID 42594637</w:t>
      </w:r>
    </w:p>
    <w:p>
      <w:r>
        <w:t>Eine französische Querschnittsumfrage mit Social-Marketing-Ansatz testete, welche Botschaften und Zugangsmerkmale die Impfintention bei Älteren (≥60 Jahren) verbessern.</w:t>
      </w:r>
    </w:p>
    <w:p>
      <w:r>
        <w:rPr>
          <w:b/>
        </w:rPr>
        <w:t xml:space="preserve">Ergebnis: </w:t>
      </w:r>
      <w:r>
        <w:t>Von 2.416 Befragten hatten 15,6 % hohe, 81,7 % mittlere und 2,8 % niedrige Impfbereitschaft. Zustimmung, dass Impfung zu gesundem Altern beiträgt, stieg von 3 % (niedrig) auf 56 % (mittel) und 78 % (hoch). Botschaften zu Schlag- und Herzinfarktrisiko zeigten höchste Intention (69–67 %). Gültigkeitsvoucher wurden positiv aufgenommen (57–81 % würden impfen lassen). Ärzte waren vertrauteste Informationsquelle (93–95 %).</w:t>
      </w:r>
    </w:p>
    <w:p>
      <w:r>
        <w:rPr>
          <w:b/>
          <w:sz w:val="19"/>
        </w:rPr>
        <w:t xml:space="preserve">Übertragbarkeit: </w:t>
      </w:r>
      <w:r>
        <w:rPr>
          <w:sz w:val="19"/>
        </w:rPr>
        <w:t>Frankreich mit ähnlichem Versicherungssystem; Fokus auf Rahmung und Zugang in DACH übertragbar.</w:t>
      </w:r>
    </w:p>
    <w:p>
      <w:r>
        <w:rPr>
          <w:color w:val="5A7D3A"/>
          <w:sz w:val="18"/>
        </w:rPr>
        <w:t>https://pubmed.ncbi.nlm.nih.gov/42594637/</w:t>
      </w:r>
    </w:p>
    <w:p>
      <w:pPr>
        <w:pStyle w:val="Heading2"/>
      </w:pPr>
      <w:r>
        <w:t>Omicron-JN.1-Impfstoff bot in den Niederlanden nur begrenzte Zusatzschutzwirkung</w:t>
      </w:r>
    </w:p>
    <w:p>
      <w:r>
        <w:rPr>
          <w:i/>
          <w:color w:val="666666"/>
          <w:sz w:val="18"/>
        </w:rPr>
        <w:t>Huiberts AJ et al.  ·  Vaccine  ·  17.09.2026  ·  PMID 42585808</w:t>
      </w:r>
    </w:p>
    <w:p>
      <w:r>
        <w:t>Eine prospektive holländische Kohortenstudie quantifizierte die Wirksamkeit der JN.1-Varianten-angepassten COVID-19-Impfung gegen Infektionen von September 2024 bis Februar 2025.</w:t>
      </w:r>
    </w:p>
    <w:p>
      <w:r>
        <w:rPr>
          <w:b/>
        </w:rPr>
        <w:t xml:space="preserve">Ergebnis: </w:t>
      </w:r>
      <w:r>
        <w:t>Von 4.490 Teilnehmern &lt;60 Jahren waren 29 % geimpft, von 19.349 Älteren 74 %. Bei 2.142 Infektionen betrug die Impfwirksamkeit 16 % (&lt;60 Jahre, 95%-KI –11–36) und 13 % (≥60 Jahre, 95%-KI 2–23). Gegen KP.3.1.1 und XEC unterschied sich der Schutz nicht signifikant. Die begrenzte Schutzwirkung in einer Phase niedriger Inzidenz deutet auf waning immunity hin.</w:t>
      </w:r>
    </w:p>
    <w:p>
      <w:r>
        <w:rPr>
          <w:b/>
          <w:sz w:val="19"/>
        </w:rPr>
        <w:t xml:space="preserve">Übertragbarkeit: </w:t>
      </w:r>
      <w:r>
        <w:rPr>
          <w:sz w:val="19"/>
        </w:rPr>
        <w:t>Niederlande mit vollständiger Impfdokumentation und genetischer Variantenbestimmung.</w:t>
      </w:r>
    </w:p>
    <w:p>
      <w:r>
        <w:rPr>
          <w:color w:val="5A7D3A"/>
          <w:sz w:val="18"/>
        </w:rPr>
        <w:t>https://pubmed.ncbi.nlm.nih.gov/42585808/</w:t>
      </w:r>
    </w:p>
    <w:p>
      <w:pPr>
        <w:pStyle w:val="Heading1"/>
      </w:pPr>
      <w:r>
        <w:t>Aufgenommen am 26.08.2026</w:t>
      </w:r>
    </w:p>
    <w:p>
      <w:pPr>
        <w:pStyle w:val="Heading2"/>
      </w:pPr>
      <w:r>
        <w:t>Influenza-Impfskepsis bei georgischen Gesundheitspersonal senkt Impfquote über drei Jahre</w:t>
      </w:r>
    </w:p>
    <w:p>
      <w:r>
        <w:rPr>
          <w:i/>
          <w:color w:val="666666"/>
          <w:sz w:val="18"/>
        </w:rPr>
        <w:t>Artemchuk O et al.  ·  PLoS One  ·  25.08.2026  ·  PMID 42640914</w:t>
      </w:r>
    </w:p>
    <w:p>
      <w:r>
        <w:t>Prospektive Kohortenstudie in Georgien mit 403 Krankenhausmitarbeitenden über drei Influenza-Saisons (2021–2024): Welche Faktoren beeinflussen die Annahme der jährlichen Influenza-Impfung?</w:t>
      </w:r>
    </w:p>
    <w:p>
      <w:r>
        <w:rPr>
          <w:b/>
        </w:rPr>
        <w:t xml:space="preserve">Ergebnis: </w:t>
      </w:r>
      <w:r>
        <w:t>72 % erhielten mindestens einmal die Impfung, 28 % nie. Mangelndes Vertrauen in Sicherheit (aOR 0,27) und Wirksamkeit (aOR 0,36) sowie das Alter 40–49 Jahre (aOR 2,67) waren die Hauptfaktoren. Eine Klinik hatte deutlich niedrigere Quoten (aOR 0,06).</w:t>
      </w:r>
    </w:p>
    <w:p>
      <w:r>
        <w:rPr>
          <w:b/>
          <w:sz w:val="19"/>
        </w:rPr>
        <w:t xml:space="preserve">Übertragbarkeit: </w:t>
      </w:r>
      <w:r>
        <w:rPr>
          <w:sz w:val="19"/>
        </w:rPr>
        <w:t>Kaukasus-Region mit WHO-Partner, aber begrenzte Übertragbarkeit auf deutsches System ohne Impfregister.</w:t>
      </w:r>
    </w:p>
    <w:p>
      <w:r>
        <w:rPr>
          <w:color w:val="5A7D3A"/>
          <w:sz w:val="18"/>
        </w:rPr>
        <w:t>https://pubmed.ncbi.nlm.nih.gov/42640914/</w:t>
      </w:r>
    </w:p>
    <w:p>
      <w:pPr>
        <w:pStyle w:val="Heading2"/>
      </w:pPr>
      <w:r>
        <w:t>Impfquote bei 24-Monate-Alten in Italien von 92,75 % auf 94,57 % durch Reorganisation der Dienste</w:t>
      </w:r>
    </w:p>
    <w:p>
      <w:r>
        <w:rPr>
          <w:i/>
          <w:color w:val="666666"/>
          <w:sz w:val="18"/>
        </w:rPr>
        <w:t>Scala A et al.  ·  Front Public Health  ·  10.08.2026  ·  PMID 42638716</w:t>
      </w:r>
    </w:p>
    <w:p>
      <w:r>
        <w:t>Qualitäts-Verbesserungsprojekt in ASL Napoli 3 Sud 2022–2024 mit M.A.S.T.E.R.-Framework: Wie ließ sich die gefallene Abdeckung von Primärserien wieder heben?</w:t>
      </w:r>
    </w:p>
    <w:p>
      <w:r>
        <w:rPr>
          <w:b/>
        </w:rPr>
        <w:t xml:space="preserve">Ergebnis: </w:t>
      </w:r>
      <w:r>
        <w:t>Quote 2023: 92,75 % (Rückgang von 94,57 % 2022). Nach Interventionen (standardisierte Erinnerungen, digitale Kalender, Schulung, Logistik-Überprüfung): 2024 → 94,57 % (+1,82 Pp.). Erinnerungen stiegen von 1.248 auf 2.136, vollendete Nachholtermine von 286 auf 612. Pädiater-Kooperation von 54,2 % auf 87,3 %.</w:t>
      </w:r>
    </w:p>
    <w:p>
      <w:r>
        <w:rPr>
          <w:b/>
          <w:sz w:val="19"/>
        </w:rPr>
        <w:t xml:space="preserve">Übertragbarkeit: </w:t>
      </w:r>
      <w:r>
        <w:rPr>
          <w:sz w:val="19"/>
        </w:rPr>
        <w:t>Italien, südeuropäisches Sozialversicherungssystem, Dokumentation ähnlich Deutschland-Anforderungen.</w:t>
      </w:r>
    </w:p>
    <w:p>
      <w:r>
        <w:rPr>
          <w:color w:val="5A7D3A"/>
          <w:sz w:val="18"/>
        </w:rPr>
        <w:t>https://pubmed.ncbi.nlm.nih.gov/42638716/</w:t>
      </w:r>
    </w:p>
    <w:p>
      <w:pPr>
        <w:pStyle w:val="Heading2"/>
      </w:pPr>
      <w:r>
        <w:t>Schwangere in Gambia: Lücken beim COVID-19-Impfstoffzugang trotz neuer Leitlinien</w:t>
      </w:r>
    </w:p>
    <w:p>
      <w:r>
        <w:rPr>
          <w:i/>
          <w:color w:val="666666"/>
          <w:sz w:val="18"/>
        </w:rPr>
        <w:t>Nkereuwem O et al.  ·  BMJ Open  ·  20.08.2026  ·  PMID 42624601</w:t>
      </w:r>
    </w:p>
    <w:p>
      <w:r>
        <w:t>Qualitative Studie in Gambia mit 15 Fachpersonen und 29 Workshop-Teilnehmenden: Welche Barrieren verhindern, dass Schwangere COVID-19-Impfstoffe erhalten?</w:t>
      </w:r>
    </w:p>
    <w:p>
      <w:r>
        <w:rPr>
          <w:b/>
        </w:rPr>
        <w:t xml:space="preserve">Ergebnis: </w:t>
      </w:r>
      <w:r>
        <w:t>Evolvierende Sicherheitsleitlinien minderten Beratungsvertrauen und verstärkten Vaccine Hesitancy. Fragmentierte Dienste (nicht in Schwangerenvorsorge integriert), schwache Dokumentation von Nebenwirkungen und Misinformation waren Kernprobleme. Strategien: frühe Schulung, Koordination über Berufsgruppen, gestärkte Logistik und Sicherheitsmeldung.</w:t>
      </w:r>
    </w:p>
    <w:p>
      <w:r>
        <w:rPr>
          <w:b/>
          <w:sz w:val="19"/>
        </w:rPr>
        <w:t xml:space="preserve">Übertragbarkeit: </w:t>
      </w:r>
      <w:r>
        <w:rPr>
          <w:sz w:val="19"/>
        </w:rPr>
        <w:t>Subsahara-Afrika, aber Befunde zu systemischer Fragmentierung relevant für Integrationsfragen.</w:t>
      </w:r>
    </w:p>
    <w:p>
      <w:r>
        <w:rPr>
          <w:color w:val="5A7D3A"/>
          <w:sz w:val="18"/>
        </w:rPr>
        <w:t>https://pubmed.ncbi.nlm.nih.gov/42624601/</w:t>
      </w:r>
    </w:p>
    <w:p>
      <w:pPr>
        <w:pStyle w:val="Heading1"/>
      </w:pPr>
      <w:r>
        <w:t>Aufgenommen am 24.08.2026</w:t>
      </w:r>
    </w:p>
    <w:p>
      <w:pPr>
        <w:pStyle w:val="Heading2"/>
      </w:pPr>
      <w:r>
        <w:t>Hochdosis-Grippeimpfstoff senkte Krankenhauseinweisungen bei Altenheimbewohnern um 31 Prozent</w:t>
      </w:r>
    </w:p>
    <w:p>
      <w:r>
        <w:rPr>
          <w:i/>
          <w:color w:val="666666"/>
          <w:sz w:val="18"/>
        </w:rPr>
        <w:t>Bricout H et al.  ·  Age Ageing  ·  03.08.2026  ·  PMID 42632918</w:t>
      </w:r>
    </w:p>
    <w:p>
      <w:r>
        <w:t>Französische Kohortenstudie verglich Wirksamkeit von Hochdosis- versus Standarddosis-Grippeimpfstoff gegen grippebedingte Krankenhauseinweisungen bei Bewohnern von Altenpflegeeinrichtungen (2022–2023).</w:t>
      </w:r>
    </w:p>
    <w:p>
      <w:r>
        <w:rPr>
          <w:b/>
        </w:rPr>
        <w:t xml:space="preserve">Ergebnis: </w:t>
      </w:r>
      <w:r>
        <w:t>Hochdosis-Impfstoff reduzierte grippebedingte Krankenhauseinweisungen um 30,8 % (95 % KI: 11,8–45,7 %; p = 0,0029), verglichen mit Standarddosis. Bei Pneumonie oder kombinierten Ergebnissen zeigte sich kein signifikanter Unterschied. Die Studie stützt bevorzugte Verwendung des Hochdosis-Impfstoffs in dieser Hochrisikogruppe.</w:t>
      </w:r>
    </w:p>
    <w:p>
      <w:r>
        <w:rPr>
          <w:b/>
          <w:sz w:val="19"/>
        </w:rPr>
        <w:t xml:space="preserve">Übertragbarkeit: </w:t>
      </w:r>
      <w:r>
        <w:rPr>
          <w:sz w:val="19"/>
        </w:rPr>
        <w:t>Frankreich mit vergleichbarem Sozialversicherungssystem und Langzeitpflege-Dokumentation wie Deutschland.</w:t>
      </w:r>
    </w:p>
    <w:p>
      <w:r>
        <w:rPr>
          <w:color w:val="5A7D3A"/>
          <w:sz w:val="18"/>
        </w:rPr>
        <w:t>https://pubmed.ncbi.nlm.nih.gov/42632918/</w:t>
      </w:r>
    </w:p>
    <w:p>
      <w:pPr>
        <w:pStyle w:val="Heading1"/>
      </w:pPr>
      <w:r>
        <w:t>Aufgenommen am 22.08.2026</w:t>
      </w:r>
    </w:p>
    <w:p>
      <w:pPr>
        <w:pStyle w:val="Heading2"/>
      </w:pPr>
      <w:r>
        <w:t>HPV-Impfung senkt Häufigkeit von Larynx- und Bindehautpapillomen in Dänemark</w:t>
      </w:r>
    </w:p>
    <w:p>
      <w:r>
        <w:rPr>
          <w:i/>
          <w:color w:val="666666"/>
          <w:sz w:val="18"/>
        </w:rPr>
        <w:t>Aakilde M et al.  ·  APMIS  ·  Aug. 2026  ·  PMID 42619272</w:t>
      </w:r>
    </w:p>
    <w:p>
      <w:r>
        <w:t>Register-Studie: 33 juvenile Larynx-, 134 Bindehautpapillom-Patienten 2005–2024 mit HPV-Subtypisierung und Impfstatus-Abfrage.</w:t>
      </w:r>
    </w:p>
    <w:p>
      <w:r>
        <w:rPr>
          <w:b/>
        </w:rPr>
        <w:t xml:space="preserve">Ergebnis: </w:t>
      </w:r>
      <w:r>
        <w:t>Larynxpapillom-Inzidenz sank von 0,190 pro 100.000 (2005–2013) auf 0,107 (2014–2024), nicht signifikant (p=0,145); keine Fälle bei geimpften Müttern. Bindehautpapillom-Inzidenz sank signifikant um 5,3 % pro Jahr (p=0,002). HPV-6/-11 in 74,1 % nachgewiesen. Studie zeigt Schutzeffekt des Impfprogramms auf Bindehautpapillome, juvenile Larynxpapillome bleiben selten und nur bei ungeimpften Müttern.</w:t>
      </w:r>
    </w:p>
    <w:p>
      <w:r>
        <w:rPr>
          <w:b/>
          <w:sz w:val="19"/>
        </w:rPr>
        <w:t xml:space="preserve">Übertragbarkeit: </w:t>
      </w:r>
      <w:r>
        <w:rPr>
          <w:sz w:val="19"/>
        </w:rPr>
        <w:t>Dänemark, nationales Register, vergleichbare nordeuropäische Impfpraxis</w:t>
      </w:r>
    </w:p>
    <w:p>
      <w:r>
        <w:rPr>
          <w:color w:val="5A7D3A"/>
          <w:sz w:val="18"/>
        </w:rPr>
        <w:t>https://pubmed.ncbi.nlm.nih.gov/42619272/</w:t>
      </w:r>
    </w:p>
    <w:p>
      <w:pPr>
        <w:pStyle w:val="Heading2"/>
      </w:pPr>
      <w:r>
        <w:t>Hepatitis-B-Impfquoten bei trans und nicht-binären Menschen in Deutschland: Wer bleibt ungeimpft?</w:t>
      </w:r>
    </w:p>
    <w:p>
      <w:r>
        <w:rPr>
          <w:i/>
          <w:color w:val="666666"/>
          <w:sz w:val="18"/>
        </w:rPr>
        <w:t>Biallas R et al.  ·  BMC Public Health  ·  11.08.2026  ·  PMID 42576212</w:t>
      </w:r>
    </w:p>
    <w:p>
      <w:r>
        <w:t>Online-Survey von 2.358 trans und nicht-binären Personen zu Hepatitis-B-Diagnosen und Impfstatus, RKI-Studie.</w:t>
      </w:r>
    </w:p>
    <w:p>
      <w:r>
        <w:rPr>
          <w:b/>
        </w:rPr>
        <w:t xml:space="preserve">Ergebnis: </w:t>
      </w:r>
      <w:r>
        <w:t>HBV-Prävalenz 0,6 %, Impfquote 56,3 %. Quote höher bei Personen auf dem männlichen Spektrum (PR 1,29) als weiblich/nicht-binär; höher mit Hochschulbildung (PR 1,44) und in Großstädten (PR 1,22). 550 (21,7 %) waren impfempfohlen; von 213 mit negativem Impfstatus waren 65 % unter 30 und hätten Routine-Impfung erhalten sollen. Wissenslücken zu Hepatitis als Hauptprädiktor für niedrige Quote identifiziert.</w:t>
      </w:r>
    </w:p>
    <w:p>
      <w:r>
        <w:rPr>
          <w:b/>
          <w:sz w:val="19"/>
        </w:rPr>
        <w:t xml:space="preserve">Übertragbarkeit: </w:t>
      </w:r>
      <w:r>
        <w:rPr>
          <w:sz w:val="19"/>
        </w:rPr>
        <w:t>RKI-Studie, deutsche Hochrisikopopulation; Ungleichheit nach Bildung, Geschlechtsidentität und Urbanisierung</w:t>
      </w:r>
    </w:p>
    <w:p>
      <w:r>
        <w:rPr>
          <w:color w:val="5A7D3A"/>
          <w:sz w:val="18"/>
        </w:rPr>
        <w:t>https://pubmed.ncbi.nlm.nih.gov/42576212/</w:t>
      </w:r>
    </w:p>
    <w:p>
      <w:pPr>
        <w:pStyle w:val="Heading1"/>
      </w:pPr>
      <w:r>
        <w:t>Aufgenommen am 21.08.2026</w:t>
      </w:r>
    </w:p>
    <w:p>
      <w:pPr>
        <w:pStyle w:val="Heading2"/>
      </w:pPr>
      <w:r>
        <w:t>MenACWY-Impfung und Meningokokken-Carriage bei Studierenden: Wirksamkeitsevidenz aus Carriage-Monitoring</w:t>
      </w:r>
    </w:p>
    <w:p>
      <w:r>
        <w:rPr>
          <w:i/>
          <w:color w:val="666666"/>
          <w:sz w:val="18"/>
        </w:rPr>
        <w:t>Harvey-Cowlishaw T et al.  ·  Front Public Health  ·  05.08.2026  ·  PMID 42621093</w:t>
      </w:r>
    </w:p>
    <w:p>
      <w:r>
        <w:t>Querschnittstudie (September + November 2024) an 400 Studierenden einer UK-Universität mit Keimkultur/PCR und Vollgenomsequenzierung von Meningokokken-Carriern.</w:t>
      </w:r>
    </w:p>
    <w:p>
      <w:r>
        <w:rPr>
          <w:b/>
        </w:rPr>
        <w:t xml:space="preserve">Ergebnis: </w:t>
      </w:r>
      <w:r>
        <w:t>Carriage-Rate Sepember 12,5 %, November 25,3 % (p&lt;0,05). Genogruppe C: null Isolate (100 % Reduktion durch MenACWY-Vakzinierung). Genogruppe Y: null verkappselte Isolate in dieser Kohorte, konsistent mit Impfeffektivität. Genogruppe B: 34,3 % (multipler Clonal Complex, teils hyperinvasiv). MenACWY schützt Studierende effektiv vor W/Y-Carriage; Genogruppe B bleibt Risiko.</w:t>
      </w:r>
    </w:p>
    <w:p>
      <w:r>
        <w:rPr>
          <w:b/>
          <w:sz w:val="19"/>
        </w:rPr>
        <w:t xml:space="preserve">Übertragbarkeit: </w:t>
      </w:r>
      <w:r>
        <w:rPr>
          <w:sz w:val="19"/>
        </w:rPr>
        <w:t>UK, Kariologie-Surveillance, vergleichbare adoleszente Impfprogramme</w:t>
      </w:r>
    </w:p>
    <w:p>
      <w:r>
        <w:rPr>
          <w:color w:val="5A7D3A"/>
          <w:sz w:val="18"/>
        </w:rPr>
        <w:t>https://pubmed.ncbi.nlm.nih.gov/42621093/</w:t>
      </w:r>
    </w:p>
    <w:p>
      <w:pPr>
        <w:pStyle w:val="Heading2"/>
      </w:pPr>
      <w:r>
        <w:t>Vorbuchte Impftermine für COVID-19: Burden-Vergleich und Wirkung auf Uptake-Intention</w:t>
      </w:r>
    </w:p>
    <w:p>
      <w:r>
        <w:rPr>
          <w:i/>
          <w:color w:val="666666"/>
          <w:sz w:val="18"/>
        </w:rPr>
        <w:t>Sanders JG et al.  ·  Vaccine  ·  30.08.2026  ·  PMID 42546637</w:t>
      </w:r>
    </w:p>
    <w:p>
      <w:r>
        <w:t>Formative Evaluationsstudie (Niederlande) in zwei Phasen – qualitativ (15 Interviews) und experimentell (n=1.886) – zur Wirkung von Vorbuchung vs. Selbstbuchung auf Impfintention.</w:t>
      </w:r>
    </w:p>
    <w:p>
      <w:r>
        <w:rPr>
          <w:b/>
        </w:rPr>
        <w:t xml:space="preserve">Ergebnis: </w:t>
      </w:r>
      <w:r>
        <w:t>Phase 1: Vorbuchung wurde als fürsorglich und auch als bevormundend wahrgenommen. Phase 2: Selbstbuchung wurde als weniger belastend wahrgenommen (β=−0,23, p&lt;0,05), führte aber nicht zu höherer Impfintention (aOR=1,11). Auch bei zögerlichen Personen kein Unterschied (aOR=0,88). Vorbuchung verändert COVID-19-Intention nicht – konservative Empfehlung: Selbstbuchung für bereits geimpfte Ältere.</w:t>
      </w:r>
    </w:p>
    <w:p>
      <w:r>
        <w:rPr>
          <w:b/>
          <w:sz w:val="19"/>
        </w:rPr>
        <w:t xml:space="preserve">Übertragbarkeit: </w:t>
      </w:r>
      <w:r>
        <w:rPr>
          <w:sz w:val="19"/>
        </w:rPr>
        <w:t>Niederlande (RIVM), vergleichbares Versicherungssystem und Impfinfrastruktur</w:t>
      </w:r>
    </w:p>
    <w:p>
      <w:r>
        <w:rPr>
          <w:color w:val="5A7D3A"/>
          <w:sz w:val="18"/>
        </w:rPr>
        <w:t>https://pubmed.ncbi.nlm.nih.gov/42546637/</w:t>
      </w:r>
    </w:p>
    <w:p>
      <w:pPr>
        <w:pStyle w:val="Heading1"/>
      </w:pPr>
      <w:r>
        <w:t>Aufgenommen am 20.08.2026</w:t>
      </w:r>
    </w:p>
    <w:p>
      <w:pPr>
        <w:pStyle w:val="Heading2"/>
      </w:pPr>
      <w:r>
        <w:t>Impfquoten in der Schwangerschaft in Deutschland 2004–2022: Was bleibt ungenutzt?</w:t>
      </w:r>
    </w:p>
    <w:p>
      <w:r>
        <w:rPr>
          <w:i/>
          <w:color w:val="666666"/>
          <w:sz w:val="18"/>
        </w:rPr>
        <w:t>Mulanje L et al.  ·  Sci Rep  ·  18.08.2026  ·  PMID 42613346</w:t>
      </w:r>
    </w:p>
    <w:p>
      <w:r>
        <w:t>Eine Analyse von über 2,8 Mio. Schwangerschaften in deutschen Krankenkassendaten zeigte, wie sich Impfquoten in der Schwangerschaft entwickelten.</w:t>
      </w:r>
    </w:p>
    <w:p>
      <w:r>
        <w:rPr>
          <w:b/>
        </w:rPr>
        <w:t xml:space="preserve">Ergebnis: </w:t>
      </w:r>
      <w:r>
        <w:t>Influenza-Impfquote bei Schwangeren stieg von 2 % (2004–2009) auf 19 % (2020–2022), Pertussis von 3 % (2015–2019) auf 37 % (2020–2022). Weniger als 50 % der empfohlenen Schwangerschaftsimpfungen wurden durchgeführt; Gründe bleiben unklar. Etwa 0,3 % erhielten kontraindizierte Lebendimpfstoffe.</w:t>
      </w:r>
    </w:p>
    <w:p>
      <w:r>
        <w:rPr>
          <w:b/>
          <w:sz w:val="19"/>
        </w:rPr>
        <w:t xml:space="preserve">Übertragbarkeit: </w:t>
      </w:r>
      <w:r>
        <w:rPr>
          <w:sz w:val="19"/>
        </w:rPr>
        <w:t>Deutsche Krankenkassendaten mit vollständiger Erfassung, direkt übertragbar auf deutsches Versorgungssystem.</w:t>
      </w:r>
    </w:p>
    <w:p>
      <w:r>
        <w:rPr>
          <w:color w:val="5A7D3A"/>
          <w:sz w:val="18"/>
        </w:rPr>
        <w:t>https://pubmed.ncbi.nlm.nih.gov/42613346/</w:t>
      </w:r>
    </w:p>
    <w:p>
      <w:pPr>
        <w:pStyle w:val="Heading2"/>
      </w:pPr>
      <w:r>
        <w:t>HPV-Impfung für Adoleszente: Verhaltenswissenschaftliche Entwicklung einer Intervention (15–17 Jahre)</w:t>
      </w:r>
    </w:p>
    <w:p>
      <w:r>
        <w:rPr>
          <w:i/>
          <w:color w:val="666666"/>
          <w:sz w:val="18"/>
        </w:rPr>
        <w:t>Flood T et al.  ·  PLoS One  ·  14.08.2026  ·  PMID 42599892</w:t>
      </w:r>
    </w:p>
    <w:p>
      <w:r>
        <w:t>Qualitative Studie mit fokussierten Interviews (Impfschwestern n=26, Schüler n=34, Lehrer/Schulnursen n=18) zur Entwicklung eines theoriegestützten HPV-Interventionsangebots.</w:t>
      </w:r>
    </w:p>
    <w:p>
      <w:r>
        <w:rPr>
          <w:b/>
        </w:rPr>
        <w:t xml:space="preserve">Ergebnis: </w:t>
      </w:r>
      <w:r>
        <w:t>Systematische Übersicht fand Mangel an Interventionen für diese Altersgruppe. Identifiziert wurden 12 Barrieren für drei Zielverhalten (Schülerentscheidung, Professionalisierung, öffentliche Akzeptanz). Entwickelte Intervention: schulgestützte HPV-Bildung mit Impfangebot, öffentliche Medienkampagne; Erfolg hängt von Unterstützung durch Behörden und Lehrplanintegration ab.</w:t>
      </w:r>
    </w:p>
    <w:p>
      <w:r>
        <w:rPr>
          <w:b/>
          <w:sz w:val="19"/>
        </w:rPr>
        <w:t xml:space="preserve">Übertragbarkeit: </w:t>
      </w:r>
      <w:r>
        <w:rPr>
          <w:sz w:val="19"/>
        </w:rPr>
        <w:t>Nordirland, ähnliche schulbasierte Impfstrukturen wie Deutschland, Barrier-Identifizierung übertragbar.</w:t>
      </w:r>
    </w:p>
    <w:p>
      <w:r>
        <w:rPr>
          <w:color w:val="5A7D3A"/>
          <w:sz w:val="18"/>
        </w:rPr>
        <w:t>https://pubmed.ncbi.nlm.nih.gov/42599892/</w:t>
      </w:r>
    </w:p>
    <w:p>
      <w:pPr>
        <w:pStyle w:val="Heading2"/>
      </w:pPr>
      <w:r>
        <w:t>COVID-19-Sterblichkeit bei Menschen mit schweren psychischen Erkrankungen: Übersterblichkeit trotz Impfung</w:t>
      </w:r>
    </w:p>
    <w:p>
      <w:r>
        <w:rPr>
          <w:i/>
          <w:color w:val="666666"/>
          <w:sz w:val="18"/>
        </w:rPr>
        <w:t>Chilman N et al.  ·  Lancet Psychiatry  ·  Sept. 2026  ·  PMID 42586081</w:t>
      </w:r>
    </w:p>
    <w:p>
      <w:r>
        <w:t>Gesamtbevölkerungsstudie in England (n=13.463.945 COVID-19-Fälle, davon 1,19 % mit schwerer psychischer Erkrankung) auf Mortalität über drei Pandemiephasen mit unterschiedlichem Impfzugang.</w:t>
      </w:r>
    </w:p>
    <w:p>
      <w:r>
        <w:rPr>
          <w:b/>
        </w:rPr>
        <w:t xml:space="preserve">Ergebnis: </w:t>
      </w:r>
      <w:r>
        <w:t>Übersterblichkeit bei schwerer psychischer Erkrankung: aHR 1,56 (95%-KI 1,53–1,59). In Phase 1 (vor Impfung): aHR 1,27; Phase 2 (Impfstart): aHR 1,56; Phase 3 (nach Impfung): aHR 1,55. Impfquoten initial höher (73,2 % vs. 67,4 %), am Ende aber niedriger (79,4 % vs. 87,2 %). Impfung minderte Risiko nur partiell (aHR 1,25, 95%-KI 1,17–1,34).</w:t>
      </w:r>
    </w:p>
    <w:p>
      <w:r>
        <w:rPr>
          <w:b/>
          <w:sz w:val="19"/>
        </w:rPr>
        <w:t xml:space="preserve">Übertragbarkeit: </w:t>
      </w:r>
      <w:r>
        <w:rPr>
          <w:sz w:val="19"/>
        </w:rPr>
        <w:t>England-Gesamtbevölkerung, nationales Gesundheitssystem wie Deutschland, Ungleichheitsfrage zentral.</w:t>
      </w:r>
    </w:p>
    <w:p>
      <w:r>
        <w:rPr>
          <w:color w:val="5A7D3A"/>
          <w:sz w:val="18"/>
        </w:rPr>
        <w:t>https://pubmed.ncbi.nlm.nih.gov/42586081/</w:t>
      </w:r>
    </w:p>
    <w:p>
      <w:pPr>
        <w:pStyle w:val="Heading1"/>
      </w:pPr>
      <w:r>
        <w:t>Aufgenommen am 19.08.2026</w:t>
      </w:r>
    </w:p>
    <w:p>
      <w:pPr>
        <w:pStyle w:val="Heading2"/>
      </w:pPr>
      <w:r>
        <w:t>Psychisches Wohlbefinden und COVID-19-Impfquote: 2,68-fach höherer Impfanteil bei hohem CASP-Wohlbefind</w:t>
      </w:r>
    </w:p>
    <w:p>
      <w:r>
        <w:rPr>
          <w:i/>
          <w:color w:val="666666"/>
          <w:sz w:val="18"/>
        </w:rPr>
        <w:t>Gao Y et al.  ·  Hum Vaccin Immunother  ·  18.08.2026  ·  PMID 42610257</w:t>
      </w:r>
    </w:p>
    <w:p>
      <w:r>
        <w:t>Prospektive Analyse von 29.597 europäischen Erwachsenen ≥50 Jahren (SHARE-Studie, 27 Länder + Israel) zur Assoziation zwischen psychischem Wohlbefinden (CASP-12-Skala) und COVID-19-Impfung, Infektion und Long COVID.</w:t>
      </w:r>
    </w:p>
    <w:p>
      <w:r>
        <w:rPr>
          <w:b/>
        </w:rPr>
        <w:t xml:space="preserve">Ergebnis: </w:t>
      </w:r>
      <w:r>
        <w:t>Personen mit höchster CASP-12-Punktzahl vs. niedrigster: OR für COVID-19-Impfung 2,68 (95%-KI 2,44–2,96). Reduktion von Long COVID um 23% (OR 0,77, 95%-KI 0,64–0,93). Kein signifikanter Effekt auf Infektionsrisiko (OR 0,87, 95%-KI 0,74–1,02). Höheres psychisches Wohlbefinden mit verbessertem Impfstatus und reduziertem Long-COVID-Risiko assoziiert.</w:t>
      </w:r>
    </w:p>
    <w:p>
      <w:r>
        <w:rPr>
          <w:b/>
          <w:sz w:val="19"/>
        </w:rPr>
        <w:t xml:space="preserve">Übertragbarkeit: </w:t>
      </w:r>
      <w:r>
        <w:rPr>
          <w:sz w:val="19"/>
        </w:rPr>
        <w:t>27 europäische Länder, generalisierbar auf deutschsprachigen Raum</w:t>
      </w:r>
    </w:p>
    <w:p>
      <w:r>
        <w:rPr>
          <w:color w:val="5A7D3A"/>
          <w:sz w:val="18"/>
        </w:rPr>
        <w:t>https://pubmed.ncbi.nlm.nih.gov/42610257/</w:t>
      </w:r>
    </w:p>
    <w:p>
      <w:pPr>
        <w:pStyle w:val="Heading2"/>
      </w:pPr>
      <w:r>
        <w:t>Pädiater-Wissenlücken zur RSV-Immunisierung: 55,9% mit durchschnittlichem bis niedrigem Nirsevimab-Wissen</w:t>
      </w:r>
    </w:p>
    <w:p>
      <w:r>
        <w:rPr>
          <w:i/>
          <w:color w:val="666666"/>
          <w:sz w:val="18"/>
        </w:rPr>
        <w:t>Di Chiara C et al.  ·  PLoS One  ·  17.08.2026  ·  PMID 42607062</w:t>
      </w:r>
    </w:p>
    <w:p>
      <w:r>
        <w:t>Befragung von 578 Pädiatern (Rücklaufquote 19,3%) in Spanien, Italien und Zypern/Griechenland zu Wissen, Einstellungen und Barrieren bezüglich neuer RSV-Impfstrategen.</w:t>
      </w:r>
    </w:p>
    <w:p>
      <w:r>
        <w:rPr>
          <w:b/>
        </w:rPr>
        <w:t xml:space="preserve">Ergebnis: </w:t>
      </w:r>
      <w:r>
        <w:t>50% Spanien, 40% Italien, 10% Zypern/Griechenland. Nur 245 Befragte (55,9%) berichteten durchschnittliches bis niedriges Nirsevimab-Wissen, 375 (86,0%) zeigten gleiches für Mutterimpfstoff (p=0,002). Trotz Wissenslücken: 311 (85,9%) bereit, Nirsevimab zu verabreichen, 319 (92,2%) unterstützten es für alle Neugeborenen. Barrieren (20,0% genannt): Unbekannt und logistische Herausforderungen. 165 (47,4%) bevorzugten die Mutterimpfung gegenüber Nirsevimab.</w:t>
      </w:r>
    </w:p>
    <w:p>
      <w:r>
        <w:rPr>
          <w:b/>
          <w:sz w:val="19"/>
        </w:rPr>
        <w:t xml:space="preserve">Übertragbarkeit: </w:t>
      </w:r>
      <w:r>
        <w:rPr>
          <w:sz w:val="19"/>
        </w:rPr>
        <w:t>Südeuropa, aber spanische Erfahrung mit Nirsevimab bereits verfügbar</w:t>
      </w:r>
    </w:p>
    <w:p>
      <w:r>
        <w:rPr>
          <w:color w:val="5A7D3A"/>
          <w:sz w:val="18"/>
        </w:rPr>
        <w:t>https://pubmed.ncbi.nlm.nih.gov/42607062/</w:t>
      </w:r>
    </w:p>
    <w:p>
      <w:pPr>
        <w:pStyle w:val="Heading2"/>
      </w:pPr>
      <w:r>
        <w:t>HPV-Impfung und Schwangerschaftsergebnisse: Registerstudie zeigt keine erhöhten Fehlgeburtsrisiken</w:t>
      </w:r>
    </w:p>
    <w:p>
      <w:r>
        <w:rPr>
          <w:i/>
          <w:color w:val="666666"/>
          <w:sz w:val="18"/>
        </w:rPr>
        <w:t>Koivisto T et al.  ·  Eur J Public Health  ·  04.08.2026  ·  PMID 42586610</w:t>
      </w:r>
    </w:p>
    <w:p>
      <w:r>
        <w:t>Register-Follow-up von 20.426 HPV-geimpften und 19.473 ungeimpften Frauen (Finland, Geburtskohorte 1990-1995) über 11 Jahre zu frühen Schwangerschaftskomplikationen.</w:t>
      </w:r>
    </w:p>
    <w:p>
      <w:r>
        <w:rPr>
          <w:b/>
        </w:rPr>
        <w:t xml:space="preserve">Ergebnis: </w:t>
      </w:r>
      <w:r>
        <w:t>Fehlgeburtsquote in der geimpften Gruppe 1,6% versus 5,3% in der ungeimpften Kontrollgruppe (p&lt;0,0001). Keine zeitliche Assoziation zwischen Impfung und Fehlgeburten. Eileiterschwangerschaften waren selten und vergleichbar (0,6–1,0%). Bei Frauen mit Vorgeschichte von Komplikationen hatten 55,6% der Geimpften mindestens eine Lebendgeburt versus 70,3% der Ungeimpften. Die Impfung war nicht mit erhöhtem Fehlgeburts- oder anderem Schwangerschaftsrisiko verbunden.</w:t>
      </w:r>
    </w:p>
    <w:p>
      <w:r>
        <w:rPr>
          <w:b/>
          <w:sz w:val="19"/>
        </w:rPr>
        <w:t xml:space="preserve">Übertragbarkeit: </w:t>
      </w:r>
      <w:r>
        <w:rPr>
          <w:sz w:val="19"/>
        </w:rPr>
        <w:t>Finnland, Register mit hoher Datenqualität</w:t>
      </w:r>
    </w:p>
    <w:p>
      <w:r>
        <w:rPr>
          <w:color w:val="5A7D3A"/>
          <w:sz w:val="18"/>
        </w:rPr>
        <w:t>https://pubmed.ncbi.nlm.nih.gov/42586610/</w:t>
      </w:r>
    </w:p>
    <w:p>
      <w:pPr>
        <w:pStyle w:val="Heading2"/>
      </w:pPr>
      <w:r>
        <w:t>Influenza-Impfeffektivität gegen Krankenhausaufnahmen: 46% Gesamtschutz in Nordirland 2024/25</w:t>
      </w:r>
    </w:p>
    <w:p>
      <w:r>
        <w:rPr>
          <w:i/>
          <w:color w:val="666666"/>
          <w:sz w:val="18"/>
        </w:rPr>
        <w:t>Bucholc M et al.  ·  Influenza Other Respir Viruses  ·  Aug. 2026  ·  PMID 42560010</w:t>
      </w:r>
    </w:p>
    <w:p>
      <w:r>
        <w:t>Test-Negativ-Design mit 2.024 influenzapositiven Fällen und 13.109 Kontrollen in 15.133 hospitalisierten Patienten zur Schätzung der Impfeffektivität gegen laborbestätigte Influenza.</w:t>
      </w:r>
    </w:p>
    <w:p>
      <w:r>
        <w:rPr>
          <w:b/>
        </w:rPr>
        <w:t xml:space="preserve">Ergebnis: </w:t>
      </w:r>
      <w:r>
        <w:t>Impfeffektivität gegen Influenza insgesamt 46,0% (95%-KI 39,7–51,8%), höher bei Kindern 2-17 Jahren (60,8%, 48,3–70,5%) als Erwachsenen 18-64 Jahren (40,5%, 24,9–53,2%) oder ≥65 Jahren (42,3%, 33,2–50,1%). Gegen Influenza-B: 76,4% (64,9–84,7%). Effektivität gegen A(H1) 44,3%, gegen A(H3) 49,9%. Die Wirksamkeit war höchsten 2-8 Wochen post-Impfung (51,9%) und nahm ab.</w:t>
      </w:r>
    </w:p>
    <w:p>
      <w:r>
        <w:rPr>
          <w:b/>
          <w:sz w:val="19"/>
        </w:rPr>
        <w:t xml:space="preserve">Übertragbarkeit: </w:t>
      </w:r>
      <w:r>
        <w:rPr>
          <w:sz w:val="19"/>
        </w:rPr>
        <w:t>UK-Daten, vergleichbar mit deutschem Gesundheitssystem</w:t>
      </w:r>
    </w:p>
    <w:p>
      <w:r>
        <w:rPr>
          <w:color w:val="5A7D3A"/>
          <w:sz w:val="18"/>
        </w:rPr>
        <w:t>https://pubmed.ncbi.nlm.nih.gov/42560010/</w:t>
      </w:r>
    </w:p>
    <w:p>
      <w:pPr>
        <w:pStyle w:val="Heading2"/>
      </w:pPr>
      <w:r>
        <w:t>Impfluecken bei Kindern in Deutschland: Sozioökonomische Unterschiede und Rolle des Versorgungstyps</w:t>
      </w:r>
    </w:p>
    <w:p>
      <w:r>
        <w:rPr>
          <w:i/>
          <w:color w:val="666666"/>
          <w:sz w:val="18"/>
        </w:rPr>
        <w:t>Nussbaum C et al.  ·  BMC Med  ·  04.08.2026  ·  PMID 42557557</w:t>
      </w:r>
    </w:p>
    <w:p>
      <w:r>
        <w:t>Analyse von 430.000 Kindern aus Versicherungsdaten 2016-2019 zur Erfassung von Impfquoten und sozioökonomischen Gradienten bei von STIKO empfohlenen Impfungen.</w:t>
      </w:r>
    </w:p>
    <w:p>
      <w:r>
        <w:rPr>
          <w:b/>
        </w:rPr>
        <w:t xml:space="preserve">Ergebnis: </w:t>
      </w:r>
      <w:r>
        <w:t>Etwa 80% der empfohlenen Impfserien waren vollständig und rechtzeitig durchgeführt. Ein kleiner, aber signifikanter sozioökonomischer Gradient zugunsten höherer Einkommen zeigte sich (Konzentrationsindex 0,024). Der Anbietertyp erklärt den größten Teil des Gradienten: Hausarztpraxen hatten niedrigere Abschlussquoten als Kinderarztpraxen. Reisezeit trug weniger bei.</w:t>
      </w:r>
    </w:p>
    <w:p>
      <w:r>
        <w:rPr>
          <w:b/>
          <w:sz w:val="19"/>
        </w:rPr>
        <w:t xml:space="preserve">Übertragbarkeit: </w:t>
      </w:r>
      <w:r>
        <w:rPr>
          <w:sz w:val="19"/>
        </w:rPr>
        <w:t>Deutsche Krankenkassendaten, vergleichbare Dokumentationspflichten</w:t>
      </w:r>
    </w:p>
    <w:p>
      <w:r>
        <w:rPr>
          <w:color w:val="5A7D3A"/>
          <w:sz w:val="18"/>
        </w:rPr>
        <w:t>https://pubmed.ncbi.nlm.nih.gov/42557557/</w:t>
      </w:r>
    </w:p>
    <w:p>
      <w:pPr>
        <w:pStyle w:val="Heading2"/>
      </w:pPr>
      <w:r>
        <w:t>Keuchhusten-Impfeffektivität im Säuglingsalter in den Niederlanden: 98,2% Schutz bei vollständiger Impfung</w:t>
      </w:r>
    </w:p>
    <w:p>
      <w:r>
        <w:rPr>
          <w:i/>
          <w:color w:val="666666"/>
          <w:sz w:val="18"/>
        </w:rPr>
        <w:t>van Meijeren DL et al.  ·  Vaccine  ·  13.08.2026  ·  PMID 42526173</w:t>
      </w:r>
    </w:p>
    <w:p>
      <w:r>
        <w:t>Fall-Kontroll-Studie mit 1.156 Fällen und 4.624 Kontrollen (laborbestätigt, 12-35 Monate, 2013-2024) zur Wirksamkeit der Grundimmunisierung gegen Pertussis.</w:t>
      </w:r>
    </w:p>
    <w:p>
      <w:r>
        <w:rPr>
          <w:b/>
        </w:rPr>
        <w:t xml:space="preserve">Ergebnis: </w:t>
      </w:r>
      <w:r>
        <w:t>Gesamteffektivität 98,2% (95%-KI 97,6–98,6) bei vollständiger Impfung, nach der Screening-Methode 96,4% (95%-KI 95,9–96,8). Von den Fällen waren 27% vollständig geimpft, von den Kontrollen 89%. Die Wirksamkeit nahm mit der Zeit seit der Impfung ab (p&lt;0,001), in der Programmphase mit dem älteren DT3aP-Impfstoff etwas stärker als danach.</w:t>
      </w:r>
    </w:p>
    <w:p>
      <w:r>
        <w:rPr>
          <w:b/>
          <w:sz w:val="19"/>
        </w:rPr>
        <w:t xml:space="preserve">Übertragbarkeit: </w:t>
      </w:r>
      <w:r>
        <w:rPr>
          <w:sz w:val="19"/>
        </w:rPr>
        <w:t>Niederlande, vergleichbares Versicherungssystem und Vakzine</w:t>
      </w:r>
    </w:p>
    <w:p>
      <w:r>
        <w:rPr>
          <w:color w:val="5A7D3A"/>
          <w:sz w:val="18"/>
        </w:rPr>
        <w:t>https://pubmed.ncbi.nlm.nih.gov/42526173/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Impfen und Praevention</dc:title>
  <dc:subject/>
  <dc:creator>Monitor Versorgungsforschung</dc:creator>
  <cp:keywords/>
  <dc:description>generated by python-docx</dc:description>
  <cp:lastModifiedBy/>
  <cp:revision>1</cp:revision>
  <dcterms:created xsi:type="dcterms:W3CDTF">2026-10-13T06:00:00Z</dcterms:created>
  <dcterms:modified xsi:type="dcterms:W3CDTF">2026-10-13T06:00:00Z</dcterms:modified>
  <cp:category/>
</cp:coreProperties>
</file>