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09.09.2026  |  6 Studien  |  impfen.m-vf.de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Eltern akzeptieren Meningokokken-B-Impfung für Säuglinge unter fachlicher Empfehlung</w:t>
      </w:r>
    </w:p>
    <w:p>
      <w:r>
        <w:rPr>
          <w:i/>
          <w:color w:val="666666"/>
          <w:sz w:val="18"/>
        </w:rPr>
        <w:t>Herrera-Restrepo O et al.  ·  Hum Vaccin Immunother  ·  08.09.2026  ·  PMID 42709765</w:t>
      </w:r>
    </w:p>
    <w:p>
      <w:r>
        <w:t>US-Online-Befragung von 1.051 Eltern mit Kindern ≤18 Monaten zu Impfbereitschaft gegen Meningokokken B.</w:t>
      </w:r>
    </w:p>
    <w:p>
      <w:r>
        <w:rPr>
          <w:b/>
        </w:rPr>
        <w:t xml:space="preserve">Ergebnis: </w:t>
      </w:r>
      <w:r>
        <w:t>73,4% Kinder vollständig geimpft. Von 266 mit unvollständiger Impfung: 59,8% besorgt um Nebenwirkungen. Ohne Fachempfehlung: 66,3% würden MenB-Impfung akzeptieren, mit Krankheitsinformation: 72,1%. Fachperson-Kommunikation war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USA-System, aber Bedeutung der Fachperson-Kommunikation universal anwendbar, nicht auf Registerdaten übertragbar.</w:t>
      </w:r>
    </w:p>
    <w:p>
      <w:r>
        <w:rPr>
          <w:color w:val="5A7D3A"/>
          <w:sz w:val="18"/>
        </w:rPr>
        <w:t>https://pubmed.ncbi.nlm.nih.gov/42709765/</w:t>
      </w:r>
    </w:p>
    <w:p>
      <w:pPr>
        <w:pStyle w:val="Heading2"/>
      </w:pPr>
      <w:r>
        <w:t>Pneumokokken-Impfung ab 50 Jahren hätte 520.000 Erkrankungsfälle verhindern können</w:t>
      </w:r>
    </w:p>
    <w:p>
      <w:r>
        <w:rPr>
          <w:i/>
          <w:color w:val="666666"/>
          <w:sz w:val="18"/>
        </w:rPr>
        <w:t>Sharomi O et al.  ·  Hum Vaccin Immunother  ·  08.09.2026  ·  PMID 42708971</w:t>
      </w:r>
    </w:p>
    <w:p>
      <w:r>
        <w:t>Modellrechnung zu epidemiologischen Effekten einer Senkung der Impfaltersgrenze für Erwachsene von 60 auf 50 Jahre in Deutschland mit V116 oder PCV20.</w:t>
      </w:r>
    </w:p>
    <w:p>
      <w:r>
        <w:rPr>
          <w:b/>
        </w:rPr>
        <w:t xml:space="preserve">Ergebnis: </w:t>
      </w:r>
      <w:r>
        <w:t>Bei Impfquote von 30%: V116 ab 50 Jahren führte zu 520.128 weniger Pneumokokkus-Erkrankungsfällen, PCV20 zu 325.694 weniger. IPD-Inzidenz im Jahr 10 mit V116 ab 50 Jahren: 20,5 pro 100.000 (vs. 22,1 ab 60 Jahren).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Modellierung mit deutschen Serotyphaten und Epidemiologie, aber keine empirische Versorgungsdatenbasis.</w:t>
      </w:r>
    </w:p>
    <w:p>
      <w:r>
        <w:rPr>
          <w:color w:val="5A7D3A"/>
          <w:sz w:val="18"/>
        </w:rPr>
        <w:t>https://pubmed.ncbi.nlm.nih.gov/42708971/</w:t>
      </w:r>
    </w:p>
    <w:p>
      <w:pPr>
        <w:pStyle w:val="Heading2"/>
      </w:pPr>
      <w:r>
        <w:t>Mütter wählen Impfungen nach Sicherheit – Information und Vertrauen entscheidend</w:t>
      </w:r>
    </w:p>
    <w:p>
      <w:r>
        <w:rPr>
          <w:i/>
          <w:color w:val="666666"/>
          <w:sz w:val="18"/>
        </w:rPr>
        <w:t>Xing R et al.  ·  Front Public Health  ·  24.08.2026  ·  PMID 42707176</w:t>
      </w:r>
    </w:p>
    <w:p>
      <w:r>
        <w:t>Qualitative Studie mit 16 Müttern in China zu Entscheidungsfaktoren bei selbstgezahlten Kinderimpfungen.</w:t>
      </w:r>
    </w:p>
    <w:p>
      <w:r>
        <w:rPr>
          <w:b/>
        </w:rPr>
        <w:t xml:space="preserve">Ergebnis: </w:t>
      </w:r>
      <w:r>
        <w:t>Sicherheit war Voraussetzung vor Nutzenabwägung. Mütter navigierten asymmetrische Informationen, balancierten Vertrauen in Fachpersonen mit unabhängiger Verifikation. Kosten wirkten als Filter oder Priorisierungsmechanismus. Kommunikationsqualität mit Anbieter:innen prägte Vertrauensaufbau; unzureichende Beratung erhöhte Unsicherheit.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Entscheidungsprozesse universal; Qualitätskriterien für Beratung auf deutsches System übertragbar.</w:t>
      </w:r>
    </w:p>
    <w:p>
      <w:r>
        <w:rPr>
          <w:color w:val="5A7D3A"/>
          <w:sz w:val="18"/>
        </w:rPr>
        <w:t>https://pubmed.ncbi.nlm.nih.gov/42707176/</w:t>
      </w:r>
    </w:p>
    <w:p>
      <w:pPr>
        <w:pStyle w:val="Heading2"/>
      </w:pPr>
      <w:r>
        <w:t>Impfkampagne in Onkologie erhöht Impfquoten deutlich</w:t>
      </w:r>
    </w:p>
    <w:p>
      <w:r>
        <w:rPr>
          <w:i/>
          <w:color w:val="666666"/>
          <w:sz w:val="18"/>
        </w:rPr>
        <w:t>Markus T et al.  ·  BMC Public Health  ·  07.09.2026  ·  PMID 42706520</w:t>
      </w:r>
    </w:p>
    <w:p>
      <w:r>
        <w:t>Kölner Universitätsklinik testete eine Interventionsstudie mit Patientenaufklärung, Personalschulung und vor-Ort-Impfung über 1,5 Jahre.</w:t>
      </w:r>
    </w:p>
    <w:p>
      <w:r>
        <w:rPr>
          <w:b/>
        </w:rPr>
        <w:t xml:space="preserve">Ergebnis: </w:t>
      </w:r>
      <w:r>
        <w:t>Gesamtimpfquote stieg von 43% auf 49%, Influenza von 37% auf 48%, Pneumokokken von 16% auf 36%, Herpes zoster von 22% auf 33%. Anteil vollständig geimpfter Patienten: 6% auf 16%.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Universitätsklinik mit vergleichbarem Dokumentationssystem, Patient:innen mit Malignomen.</w:t>
      </w:r>
    </w:p>
    <w:p>
      <w:r>
        <w:rPr>
          <w:color w:val="5A7D3A"/>
          <w:sz w:val="18"/>
        </w:rPr>
        <w:t>https://pubmed.ncbi.nlm.nih.gov/42706520/</w:t>
      </w:r>
    </w:p>
    <w:p>
      <w:pPr>
        <w:pStyle w:val="Heading2"/>
      </w:pPr>
      <w:r>
        <w:t>COVID-19-Impfstoffsicherheit: Präklinische und klinische Pharmakovigilanz verglichen</w:t>
      </w:r>
    </w:p>
    <w:p>
      <w:r>
        <w:rPr>
          <w:i/>
          <w:color w:val="666666"/>
          <w:sz w:val="18"/>
        </w:rPr>
        <w:t>Gonin C et al.  ·  Regul Toxicol Pharmacol  ·  11.07.2026  ·  PMID 42435835</w:t>
      </w:r>
    </w:p>
    <w:p>
      <w:r>
        <w:t>Französische Behörde (ANSM) verglich Sicherheitsdaten aus Laborstudien und Arzneimittelüberwachung für fünf COVID-19-Impfstoffe auf Reaktogenität, Myokarditis und Thrombose.</w:t>
      </w:r>
    </w:p>
    <w:p>
      <w:r>
        <w:rPr>
          <w:b/>
        </w:rPr>
        <w:t xml:space="preserve">Ergebnis: </w:t>
      </w:r>
      <w:r>
        <w:t>Virale Vektorimpfstoffe zeigten höhere Reaktogenität. Myokarditis und Thrombose-Thrombozytopenie wurden nicht in präklinischen Studien vorhergesagt. Biomarker wie Troponin waren klinisch aussagekräftig; keine Korrelation zwischen präklinischen Parametern und klinischen Ergebnissen.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nationale Pharmakovigilanz mit europäischem Zulassungskontext, auf Deutschland übertragbar.</w:t>
      </w:r>
    </w:p>
    <w:p>
      <w:r>
        <w:rPr>
          <w:color w:val="5A7D3A"/>
          <w:sz w:val="18"/>
        </w:rPr>
        <w:t>https://pubmed.ncbi.nlm.nih.gov/42435835/</w:t>
      </w:r>
    </w:p>
    <w:p>
      <w:pPr>
        <w:pStyle w:val="Heading2"/>
      </w:pPr>
      <w:r>
        <w:t>COVID-19- und Influenza-Impfung sequenziell in Dialyse-Patienten: Immunogenität stabil</w:t>
      </w:r>
    </w:p>
    <w:p>
      <w:r>
        <w:rPr>
          <w:i/>
          <w:color w:val="666666"/>
          <w:sz w:val="18"/>
        </w:rPr>
        <w:t>Bronder S et al.  ·  Sci Rep  ·  06.07.2026  ·  PMID 42410167</w:t>
      </w:r>
    </w:p>
    <w:p>
      <w:r>
        <w:t>Beobachtungsstudie mit 113 dialysepflichtigen Patienten zu sequenzieller Gabe von XBB.1.5-COVID-19-Impfung und Influenza-Impfung im Abstand von 14 Tagen.</w:t>
      </w:r>
    </w:p>
    <w:p>
      <w:r>
        <w:rPr>
          <w:b/>
        </w:rPr>
        <w:t xml:space="preserve">Ergebnis: </w:t>
      </w:r>
      <w:r>
        <w:t>Nach beiden Impfungen: robuste Steigerung humoraler und zellulärer Antworten. Influenza-Impfung beeinträchtigte Spike-spezifische Antikörper oder T-Zell-Antworten nicht. Spike-Reaktionen blieben 6 Monate stabil und über Niveau ungeimpfter Kontrollen.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vergleichbares Dialyse-System, aber kleine Kohorte; Transfer auf Hochrisiko-Populationen möglich.</w:t>
      </w:r>
    </w:p>
    <w:p>
      <w:r>
        <w:rPr>
          <w:color w:val="5A7D3A"/>
          <w:sz w:val="18"/>
        </w:rPr>
        <w:t>https://pubmed.ncbi.nlm.nih.gov/42410167/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