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Studienarchiv - Impfen und Impfpraevention</w:t>
      </w:r>
    </w:p>
    <w:p>
      <w:r>
        <w:rPr>
          <w:i/>
          <w:color w:val="666666"/>
          <w:sz w:val="18"/>
        </w:rPr>
        <w:t>Stand: 20.08.2026  |  9 Studien  |  impfen.m-vf.de</w:t>
      </w:r>
    </w:p>
    <w:p>
      <w:pPr>
        <w:pStyle w:val="Heading1"/>
      </w:pPr>
      <w:r>
        <w:t>Aufgenommen am 20.08.2026</w:t>
      </w:r>
    </w:p>
    <w:p>
      <w:pPr>
        <w:pStyle w:val="Heading2"/>
      </w:pPr>
      <w:r>
        <w:t>Impfquoten in der Schwangerschaft in Deutschland 2004–2022: Was bleibt ungenutzt?</w:t>
      </w:r>
    </w:p>
    <w:p>
      <w:r>
        <w:rPr>
          <w:i/>
          <w:color w:val="666666"/>
          <w:sz w:val="18"/>
        </w:rPr>
        <w:t>Mulanje L et al.  ·  Sci Rep  ·  18.08.2026  ·  PMID 42613346</w:t>
      </w:r>
    </w:p>
    <w:p>
      <w:r>
        <w:t>Eine Analyse von über 2,8 Mio. Schwangerschaften in deutschen Krankenkassendaten zeigte, wie sich Impfquoten in der Schwangerschaft entwickelten.</w:t>
      </w:r>
    </w:p>
    <w:p>
      <w:r>
        <w:rPr>
          <w:b/>
        </w:rPr>
        <w:t xml:space="preserve">Ergebnis: </w:t>
      </w:r>
      <w:r>
        <w:t>Influenza-Impfquote bei Schwangeren stieg von 2 % (2004–2009) auf 19 % (2020–2022), Pertussis von 3 % (2015–2019) auf 37 % (2020–2022). Weniger als 50 % der empfohlenen Schwangerschaftsimpfungen wurden durchgeführt; Gründe bleiben unklar. Etwa 0,3 % erhielten kontraindizierte Lebendimpfstoffe.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Krankenkassendaten mit vollständiger Erfassung, direkt übertragbar auf deutsches Versorgungssystem.</w:t>
      </w:r>
    </w:p>
    <w:p>
      <w:r>
        <w:rPr>
          <w:color w:val="5A7D3A"/>
          <w:sz w:val="18"/>
        </w:rPr>
        <w:t>https://pubmed.ncbi.nlm.nih.gov/42613346/</w:t>
      </w:r>
    </w:p>
    <w:p>
      <w:pPr>
        <w:pStyle w:val="Heading2"/>
      </w:pPr>
      <w:r>
        <w:t>HPV-Impfung für Adoleszente: Verhaltenswissenschaftliche Entwicklung einer Intervention (15–17 Jahre)</w:t>
      </w:r>
    </w:p>
    <w:p>
      <w:r>
        <w:rPr>
          <w:i/>
          <w:color w:val="666666"/>
          <w:sz w:val="18"/>
        </w:rPr>
        <w:t>Flood T et al.  ·  PLoS One  ·  14.08.2026  ·  PMID 42599892</w:t>
      </w:r>
    </w:p>
    <w:p>
      <w:r>
        <w:t>Qualitative Studie mit fokussierten Interviews (Impfschwestern n=26, Schüler n=34, Lehrer/Schulnursen n=18) zur Entwicklung eines theoriegestützten HPV-Interventionsangebots.</w:t>
      </w:r>
    </w:p>
    <w:p>
      <w:r>
        <w:rPr>
          <w:b/>
        </w:rPr>
        <w:t xml:space="preserve">Ergebnis: </w:t>
      </w:r>
      <w:r>
        <w:t>Systematische Übersicht fand Mangel an Interventionen für diese Altersgruppe. Identifiziert wurden 12 Barrieren für drei Zielverhalten (Schülerentscheidung, Professionalisierung, öffentliche Akzeptanz). Entwickelte Intervention: schulgestützte HPV-Bildung mit Impfangebot, öffentliche Medienkampagne; Erfolg hängt von Unterstützung durch Behörden und Lehrplanintegration ab.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Nordirland, ähnliche schulbasierte Impfstrukturen wie Deutschland, Barrier-Identifizierung übertragbar.</w:t>
      </w:r>
    </w:p>
    <w:p>
      <w:r>
        <w:rPr>
          <w:color w:val="5A7D3A"/>
          <w:sz w:val="18"/>
        </w:rPr>
        <w:t>https://pubmed.ncbi.nlm.nih.gov/42599892/</w:t>
      </w:r>
    </w:p>
    <w:p>
      <w:pPr>
        <w:pStyle w:val="Heading2"/>
      </w:pPr>
      <w:r>
        <w:t>COVID-19-Sterblichkeit bei Menschen mit schweren psychischen Erkrankungen: Übersterblichkeit trotz Impfung</w:t>
      </w:r>
    </w:p>
    <w:p>
      <w:r>
        <w:rPr>
          <w:i/>
          <w:color w:val="666666"/>
          <w:sz w:val="18"/>
        </w:rPr>
        <w:t>Chilman N et al.  ·  Lancet Psychiatry  ·  Sept. 2026  ·  PMID 42586081</w:t>
      </w:r>
    </w:p>
    <w:p>
      <w:r>
        <w:t>Gesamtbevölkerungsstudie in England (n=13.463.945 COVID-19-Fälle, davon 1,19 % mit schwerer psychischer Erkrankung) auf Mortalität über drei Pandemiephasen mit unterschiedlichem Impfzugang.</w:t>
      </w:r>
    </w:p>
    <w:p>
      <w:r>
        <w:rPr>
          <w:b/>
        </w:rPr>
        <w:t xml:space="preserve">Ergebnis: </w:t>
      </w:r>
      <w:r>
        <w:t>Übersterblichkeit bei schwerer psychischer Erkrankung: aHR 1,56 (95%-KI 1,53–1,59). In Phase 1 (vor Impfung): aHR 1,27; Phase 2 (Impfstart): aHR 1,56; Phase 3 (nach Impfung): aHR 1,55. Impfquoten initial höher (73,2 % vs. 67,4 %), am Ende aber niedriger (79,4 % vs. 87,2 %). Impfung minderte Risiko nur partiell (aHR 1,25, 95%-KI 1,17–1,34).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England-Gesamtbevölkerung, nationales Gesundheitssystem wie Deutschland, Ungleichheitsfrage zentral.</w:t>
      </w:r>
    </w:p>
    <w:p>
      <w:r>
        <w:rPr>
          <w:color w:val="5A7D3A"/>
          <w:sz w:val="18"/>
        </w:rPr>
        <w:t>https://pubmed.ncbi.nlm.nih.gov/42586081/</w:t>
      </w:r>
    </w:p>
    <w:p>
      <w:pPr>
        <w:pStyle w:val="Heading1"/>
      </w:pPr>
      <w:r>
        <w:t>Aufgenommen am 19.08.2026</w:t>
      </w:r>
    </w:p>
    <w:p>
      <w:pPr>
        <w:pStyle w:val="Heading2"/>
      </w:pPr>
      <w:r>
        <w:t>Psychisches Wohlbefinden und COVID-19-Impfquote: 2,68-fach höherer Impfanteil bei hohem CASP-Wohlbefind</w:t>
      </w:r>
    </w:p>
    <w:p>
      <w:r>
        <w:rPr>
          <w:i/>
          <w:color w:val="666666"/>
          <w:sz w:val="18"/>
        </w:rPr>
        <w:t>Gao Y et al.  ·  Hum Vaccin Immunother  ·  18.08.2026  ·  PMID 42610257</w:t>
      </w:r>
    </w:p>
    <w:p>
      <w:r>
        <w:t>Prospektive Analyse von 29.597 europäischen Erwachsenen ≥50 Jahren (SHARE-Studie, 27 Länder + Israel) zur Assoziation zwischen psychischem Wohlbefinden (CASP-12-Skala) und COVID-19-Impfung, Infektion und Long COVID.</w:t>
      </w:r>
    </w:p>
    <w:p>
      <w:r>
        <w:rPr>
          <w:b/>
        </w:rPr>
        <w:t xml:space="preserve">Ergebnis: </w:t>
      </w:r>
      <w:r>
        <w:t>Personen mit höchster CASP-12-Punktzahl vs. niedrigster: OR für COVID-19-Impfung 2,68 (95%-KI 2,44–2,96). Reduktion von Long COVID um 23% (OR 0,77, 95%-KI 0,64–0,93). Kein signifikanter Effekt auf Infektionsrisiko (OR 0,87, 95%-KI 0,74–1,02). Höheres psychisches Wohlbefinden mit verbessertem Impfstatus und reduziertem Long-COVID-Risiko assoziiert.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27 europäische Länder, generalisierbar auf deutschsprachigen Raum</w:t>
      </w:r>
    </w:p>
    <w:p>
      <w:r>
        <w:rPr>
          <w:color w:val="5A7D3A"/>
          <w:sz w:val="18"/>
        </w:rPr>
        <w:t>https://pubmed.ncbi.nlm.nih.gov/42610257/</w:t>
      </w:r>
    </w:p>
    <w:p>
      <w:pPr>
        <w:pStyle w:val="Heading2"/>
      </w:pPr>
      <w:r>
        <w:t>Pädiater-Wissenlücken zur RSV-Immunisierung: 55,9% mit durchschnittlichem bis niedrigem Nirsevimab-Wissen</w:t>
      </w:r>
    </w:p>
    <w:p>
      <w:r>
        <w:rPr>
          <w:i/>
          <w:color w:val="666666"/>
          <w:sz w:val="18"/>
        </w:rPr>
        <w:t>Di Chiara C et al.  ·  PLoS One  ·  17.08.2026  ·  PMID 42607062</w:t>
      </w:r>
    </w:p>
    <w:p>
      <w:r>
        <w:t>Befragung von 578 Pädiatern (Rücklaufquote 19,3%) in Spanien, Italien und Zypern/Griechenland zu Wissen, Einstellungen und Barrieren bezüglich neuer RSV-Impfstrategen.</w:t>
      </w:r>
    </w:p>
    <w:p>
      <w:r>
        <w:rPr>
          <w:b/>
        </w:rPr>
        <w:t xml:space="preserve">Ergebnis: </w:t>
      </w:r>
      <w:r>
        <w:t>50% Spanien, 40% Italien, 10% Zypern/Griechenland. Nur 245 Befragte (55,9%) berichteten durchschnittliches bis niedriges Nirsevimab-Wissen, 375 (86,0%) zeigten gleiches für Mutterimpfstoff (p=0,002). Trotz Wissenslücken: 311 (85,9%) bereit, Nirsevimab zu verabreichen, 319 (92,2%) unterstützten es für alle Neugeborenen. Barrieren (20,0% genannt): Unbekannt und logistische Herausforderungen. 165 (47,4%) bevorzugten die Mutterimpfung gegenüber Nirsevimab.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Südeuropa, aber spanische Erfahrung mit Nirsevimab bereits verfügbar</w:t>
      </w:r>
    </w:p>
    <w:p>
      <w:r>
        <w:rPr>
          <w:color w:val="5A7D3A"/>
          <w:sz w:val="18"/>
        </w:rPr>
        <w:t>https://pubmed.ncbi.nlm.nih.gov/42607062/</w:t>
      </w:r>
    </w:p>
    <w:p>
      <w:pPr>
        <w:pStyle w:val="Heading2"/>
      </w:pPr>
      <w:r>
        <w:t>HPV-Impfung und Schwangerschaftsergebnisse: Registerstudie zeigt keine erhöhten Fehlgeburtsrisiken</w:t>
      </w:r>
    </w:p>
    <w:p>
      <w:r>
        <w:rPr>
          <w:i/>
          <w:color w:val="666666"/>
          <w:sz w:val="18"/>
        </w:rPr>
        <w:t>Koivisto T et al.  ·  Eur J Public Health  ·  04.08.2026  ·  PMID 42586610</w:t>
      </w:r>
    </w:p>
    <w:p>
      <w:r>
        <w:t>Register-Follow-up von 20.426 HPV-geimpften und 19.473 ungeimpften Frauen (Finland, Geburtskohorte 1990-1995) über 11 Jahre zu frühen Schwangerschaftskomplikationen.</w:t>
      </w:r>
    </w:p>
    <w:p>
      <w:r>
        <w:rPr>
          <w:b/>
        </w:rPr>
        <w:t xml:space="preserve">Ergebnis: </w:t>
      </w:r>
      <w:r>
        <w:t>Fehlgeburtsquote in der geimpften Gruppe 1,6% versus 5,3% in der ungeimpften Kontrollgruppe (p&lt;0,0001). Keine zeitliche Assoziation zwischen Impfung und Fehlgeburten. Eileiterschwangerschaften waren selten und vergleichbar (0,6–1,0%). Bei Frauen mit Vorgeschichte von Komplikationen hatten 55,6% der Geimpften mindestens eine Lebendgeburt versus 70,3% der Ungeimpften. Die Impfung war nicht mit erhöhtem Fehlgeburts- oder anderem Schwangerschaftsrisiko verbunden.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Finnland, Register mit hoher Datenqualität</w:t>
      </w:r>
    </w:p>
    <w:p>
      <w:r>
        <w:rPr>
          <w:color w:val="5A7D3A"/>
          <w:sz w:val="18"/>
        </w:rPr>
        <w:t>https://pubmed.ncbi.nlm.nih.gov/42586610/</w:t>
      </w:r>
    </w:p>
    <w:p>
      <w:pPr>
        <w:pStyle w:val="Heading2"/>
      </w:pPr>
      <w:r>
        <w:t>Influenza-Impfeffektivität gegen Krankenhausaufnahmen: 46% Gesamtschutz in Nordirland 2024/25</w:t>
      </w:r>
    </w:p>
    <w:p>
      <w:r>
        <w:rPr>
          <w:i/>
          <w:color w:val="666666"/>
          <w:sz w:val="18"/>
        </w:rPr>
        <w:t>Bucholc M et al.  ·  Influenza Other Respir Viruses  ·  Aug. 2026  ·  PMID 42560010</w:t>
      </w:r>
    </w:p>
    <w:p>
      <w:r>
        <w:t>Test-Negativ-Design mit 2.024 influenzapositiven Fällen und 13.109 Kontrollen in 15.133 hospitalisierten Patienten zur Schätzung der Impfeffektivität gegen laborbestätigte Influenza.</w:t>
      </w:r>
    </w:p>
    <w:p>
      <w:r>
        <w:rPr>
          <w:b/>
        </w:rPr>
        <w:t xml:space="preserve">Ergebnis: </w:t>
      </w:r>
      <w:r>
        <w:t>Impfeffektivität gegen Influenza insgesamt 46,0% (95%-KI 39,7–51,8%), höher bei Kindern 2-17 Jahren (60,8%, 48,3–70,5%) als Erwachsenen 18-64 Jahren (40,5%, 24,9–53,2%) oder ≥65 Jahren (42,3%, 33,2–50,1%). Gegen Influenza-B: 76,4% (64,9–84,7%). Effektivität gegen A(H1) 44,3%, gegen A(H3) 49,9%. Die Wirksamkeit war höchsten 2-8 Wochen post-Impfung (51,9%) und nahm ab.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UK-Daten, vergleichbar mit deutschem Gesundheitssystem</w:t>
      </w:r>
    </w:p>
    <w:p>
      <w:r>
        <w:rPr>
          <w:color w:val="5A7D3A"/>
          <w:sz w:val="18"/>
        </w:rPr>
        <w:t>https://pubmed.ncbi.nlm.nih.gov/42560010/</w:t>
      </w:r>
    </w:p>
    <w:p>
      <w:pPr>
        <w:pStyle w:val="Heading2"/>
      </w:pPr>
      <w:r>
        <w:t>Impfluecken bei Kindern in Deutschland: Sozioökonomische Unterschiede und Rolle des Versorgungstyps</w:t>
      </w:r>
    </w:p>
    <w:p>
      <w:r>
        <w:rPr>
          <w:i/>
          <w:color w:val="666666"/>
          <w:sz w:val="18"/>
        </w:rPr>
        <w:t>Nussbaum C et al.  ·  BMC Med  ·  04.08.2026  ·  PMID 42557557</w:t>
      </w:r>
    </w:p>
    <w:p>
      <w:r>
        <w:t>Analyse von 430.000 Kindern aus Versicherungsdaten 2016-2019 zur Erfassung von Impfquoten und sozioökonomischen Gradienten bei von STIKO empfohlenen Impfungen.</w:t>
      </w:r>
    </w:p>
    <w:p>
      <w:r>
        <w:rPr>
          <w:b/>
        </w:rPr>
        <w:t xml:space="preserve">Ergebnis: </w:t>
      </w:r>
      <w:r>
        <w:t>Etwa 80% der empfohlenen Impfserien waren vollständig und rechtzeitig durchgeführt. Ein kleiner, aber signifikanter sozioökonomischer Gradient zugunsten höherer Einkommen zeigte sich (Konzentrationsindex 0,024). Der Anbietertyp erklärt den größten Teil des Gradienten: Hausarztpraxen hatten niedrigere Abschlussquoten als Kinderarztpraxen. Reisezeit trug weniger bei.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Krankenkassendaten, vergleichbare Dokumentationspflichten</w:t>
      </w:r>
    </w:p>
    <w:p>
      <w:r>
        <w:rPr>
          <w:color w:val="5A7D3A"/>
          <w:sz w:val="18"/>
        </w:rPr>
        <w:t>https://pubmed.ncbi.nlm.nih.gov/42557557/</w:t>
      </w:r>
    </w:p>
    <w:p>
      <w:pPr>
        <w:pStyle w:val="Heading2"/>
      </w:pPr>
      <w:r>
        <w:t>Keuchhusten-Impfeffektivität im Säuglingsalter in den Niederlanden: 98,2% Schutz bei vollständiger Impfung</w:t>
      </w:r>
    </w:p>
    <w:p>
      <w:r>
        <w:rPr>
          <w:i/>
          <w:color w:val="666666"/>
          <w:sz w:val="18"/>
        </w:rPr>
        <w:t>van Meijeren DL et al.  ·  Vaccine  ·  13.08.2026  ·  PMID 42526173</w:t>
      </w:r>
    </w:p>
    <w:p>
      <w:r>
        <w:t>Fall-Kontroll-Studie mit 1.156 Fällen und 4.624 Kontrollen (laborbestätigt, 12-35 Monate, 2013-2024) zur Wirksamkeit der Grundimmunisierung gegen Pertussis.</w:t>
      </w:r>
    </w:p>
    <w:p>
      <w:r>
        <w:rPr>
          <w:b/>
        </w:rPr>
        <w:t xml:space="preserve">Ergebnis: </w:t>
      </w:r>
      <w:r>
        <w:t>Gesamteffektivität 98,2% (95%-KI 97,6–98,6) bei vollständiger Impfung. Wirksamkeit nahm mit der Zeit seit Impfung ab (p&lt;0,001): 51,9% zwei bis acht Wochen nach Impfung, 44,6% nach 9-16 Wochen, 41,4% nach ≥16 Wochen. Höhere Effektivität bei Kindern 2-17 Jahre (60,8%) als bei Erwachsenen 18-64 Jahre (40,5%) oder ≥65 Jahre (42,3%).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Niederlande, vergleichbares Versicherungssystem und Vakzine</w:t>
      </w:r>
    </w:p>
    <w:p>
      <w:r>
        <w:rPr>
          <w:color w:val="5A7D3A"/>
          <w:sz w:val="18"/>
        </w:rPr>
        <w:t>https://pubmed.ncbi.nlm.nih.gov/42526173/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Studienarchiv - Impfen und Impfpraevention</dc:title>
  <dc:subject/>
  <dc:creator>Monitor Versorgungsforschung</dc:creator>
  <cp:keywords/>
  <dc:description>generated by python-docx</dc:description>
  <cp:lastModifiedBy/>
  <cp:revision>1</cp:revision>
  <dcterms:created xsi:type="dcterms:W3CDTF">2026-08-20T06:00:00Z</dcterms:created>
  <dcterms:modified xsi:type="dcterms:W3CDTF">2026-08-20T06:00:00Z</dcterms:modified>
  <cp:category/>
</cp:coreProperties>
</file>