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19.09.2026  |  6 Studien  |  impfen.m-vf.de</w:t>
      </w:r>
    </w:p>
    <w:p>
      <w:pPr>
        <w:pStyle w:val="Heading1"/>
      </w:pPr>
      <w:r>
        <w:t>Aufgenommen am 19.09.2026</w:t>
      </w:r>
    </w:p>
    <w:p>
      <w:pPr>
        <w:pStyle w:val="Heading2"/>
      </w:pPr>
      <w:r>
        <w:t>Maschinenlernen identifiziert Null-Dosis-Kinder in Subsahara-Afrika</w:t>
      </w:r>
    </w:p>
    <w:p>
      <w:r>
        <w:rPr>
          <w:i/>
          <w:color w:val="666666"/>
          <w:sz w:val="18"/>
        </w:rPr>
        <w:t>Endehabtu BF et al.  ·  BMJ Health Care Inform  ·  18.09.2026  ·  PMID 42759970</w:t>
      </w:r>
    </w:p>
    <w:p>
      <w:r>
        <w:t>Prädiktives Modellentwicklungs-Projekt mit Daten von 27 subsaharischen Ländern (Demographic Health Survey 2016–2024) zur Risikoidentifikation von Kindern ohne Impfung.</w:t>
      </w:r>
    </w:p>
    <w:p>
      <w:r>
        <w:rPr>
          <w:b/>
        </w:rPr>
        <w:t xml:space="preserve">Ergebnis: </w:t>
      </w:r>
      <w:r>
        <w:t>LightGBM-Modell zeigte beste Gesamtleistung: 80 % Genauigkeit, 91 % Sensitivität, AUROC 0,78. Wichtigste Prädiktoren: Entbindungsort, Geburtsvorkontakten, Mutter-Tetanus-Impfung, Haushaltsvermögen, mütterliche Bildung. Ermöglicht frühe Risikoidentifikation.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Subsahara-Afrika, digitales Tooldesign auf Länder mit WHO DHSatz übertragbar.</w:t>
      </w:r>
    </w:p>
    <w:p>
      <w:r>
        <w:rPr>
          <w:color w:val="5A7D3A"/>
          <w:sz w:val="18"/>
        </w:rPr>
        <w:t>https://pubmed.ncbi.nlm.nih.gov/42759970/</w:t>
      </w:r>
    </w:p>
    <w:p>
      <w:pPr>
        <w:pStyle w:val="Heading2"/>
      </w:pPr>
      <w:r>
        <w:t>RSV-Impfeffektivität bei älteren Erwachsenen in den USA zeigt hohe Wirksamkeit</w:t>
      </w:r>
    </w:p>
    <w:p>
      <w:r>
        <w:rPr>
          <w:i/>
          <w:color w:val="666666"/>
          <w:sz w:val="18"/>
        </w:rPr>
        <w:t>Lu Y et al.  ·  JAMA Netw Open  ·  01.09.2026  ·  PMID 42758507</w:t>
      </w:r>
    </w:p>
    <w:p>
      <w:r>
        <w:t>Nationale Kohortenstudie zur klinischen Wirksamkeit zweier RSV-Impfstoffe bei Medicare-Patienten ab 65 Jahren in der ersten Saison nach Zulassung (August 2023 bis März 2024).</w:t>
      </w:r>
    </w:p>
    <w:p>
      <w:r>
        <w:rPr>
          <w:b/>
        </w:rPr>
        <w:t xml:space="preserve">Ergebnis: </w:t>
      </w:r>
      <w:r>
        <w:t>RSVPreF3+AS01 und RSVpreF hatten eine Effektivität von 81,8 % (95-%-KI 80,0–83,4 %) gegen RSV-bedingte Hospitalisierungen und 85,0 % gegen RSV-bedingte Todesfälle. Brand-spezifisch: RSVPreF3+AS01 79,9 %, RSVpreF 85,1 %. Bei immungeschwächten Personen 72,2 %. Wirksam über alle Altersgruppen ab 65 Jahren.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Medicare-Daten, vergleichbare Dokumentationspflichten wie Deutschland.</w:t>
      </w:r>
    </w:p>
    <w:p>
      <w:r>
        <w:rPr>
          <w:color w:val="5A7D3A"/>
          <w:sz w:val="18"/>
        </w:rPr>
        <w:t>https://pubmed.ncbi.nlm.nih.gov/42758507/</w:t>
      </w:r>
    </w:p>
    <w:p>
      <w:pPr>
        <w:pStyle w:val="Heading2"/>
      </w:pPr>
      <w:r>
        <w:t>Impfbefürwortung durch Fachpersonal: Trainingseffekt bei Hebammen und Pflegekräften</w:t>
      </w:r>
    </w:p>
    <w:p>
      <w:r>
        <w:rPr>
          <w:i/>
          <w:color w:val="666666"/>
          <w:sz w:val="18"/>
        </w:rPr>
        <w:t>Tiryaki Ö  ·  Biomedica  ·  20.08.2026  ·  PMID 42757794</w:t>
      </w:r>
    </w:p>
    <w:p>
      <w:r>
        <w:t>Quasi-experimentelle Studie mit Vorher-Nachher-Messung zur Wirkung eines Impfaufklärungstrainings auf die Impfbefürwortung bei 249 Hebammen und Pflegekräften.</w:t>
      </w:r>
    </w:p>
    <w:p>
      <w:r>
        <w:rPr>
          <w:b/>
        </w:rPr>
        <w:t xml:space="preserve">Ergebnis: </w:t>
      </w:r>
      <w:r>
        <w:t>Vaccine Advocacy Scale für Kinderimpfungen stieg signifikant von 45,19 ± 2,85 vor auf 46,95 ± 1,99 Punkte nach dem Training (Wilcoxon p = 0,000). Effekt niedrig, aber statistisch robust; Ausgangsniveau bereits hoch.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Türkisches Setting, Pflegekräfte-Schulung auf Deutschland übertragbar.</w:t>
      </w:r>
    </w:p>
    <w:p>
      <w:r>
        <w:rPr>
          <w:color w:val="5A7D3A"/>
          <w:sz w:val="18"/>
        </w:rPr>
        <w:t>https://pubmed.ncbi.nlm.nih.gov/42757794/</w:t>
      </w:r>
    </w:p>
    <w:p>
      <w:pPr>
        <w:pStyle w:val="Heading2"/>
      </w:pPr>
      <w:r>
        <w:t>RSVPreF3-Impfstoff bei älteren Chinesen immunogenetisch gleichwertig zu globaler Population</w:t>
      </w:r>
    </w:p>
    <w:p>
      <w:r>
        <w:rPr>
          <w:i/>
          <w:color w:val="666666"/>
          <w:sz w:val="18"/>
        </w:rPr>
        <w:t>Guo X et al.  ·  Front Immunol  ·  03.09.2026  ·  PMID 42756146</w:t>
      </w:r>
    </w:p>
    <w:p>
      <w:r>
        <w:t>Phase-3-Immunbrückungs-Studie zur Nichtunterlegenheit von RSVPreF3 bei ≥60-jährigen chinesischen Erwachsenen gegenüber internationaler Vergleichsgruppe (6 Länder).</w:t>
      </w:r>
    </w:p>
    <w:p>
      <w:r>
        <w:rPr>
          <w:b/>
        </w:rPr>
        <w:t xml:space="preserve">Ergebnis: </w:t>
      </w:r>
      <w:r>
        <w:t>Nichtunterlegenheitskriterien erfüllt: GMT-Verhältnisse für RSV-A/B 1,20/1,10 (akzeptabel ≤1,5), Seroresponse-Unterschiede 3,40 %/4,89 % (akzeptabel ≤10 %). RSV-A/B-Neutralisationstiter 5523/8073 ED60 (China), 6605/8286 (Ausland). Lokale Nebenwirkungen meist mild-moderat, Ernsthaftigkeit niedrig (0,2–0,3 % immune-vermittelt).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Immunogenität-Ergebnis zur Globalität des Impfstoffs übertra gbar.</w:t>
      </w:r>
    </w:p>
    <w:p>
      <w:r>
        <w:rPr>
          <w:color w:val="5A7D3A"/>
          <w:sz w:val="18"/>
        </w:rPr>
        <w:t>https://pubmed.ncbi.nlm.nih.gov/42756146/</w:t>
      </w:r>
    </w:p>
    <w:p>
      <w:pPr>
        <w:pStyle w:val="Heading2"/>
      </w:pPr>
      <w:r>
        <w:t>Impfgerechtigkeit als Planungsprinzip: Lehren aus der COVID-19-Pandemie</w:t>
      </w:r>
    </w:p>
    <w:p>
      <w:r>
        <w:rPr>
          <w:i/>
          <w:color w:val="666666"/>
          <w:sz w:val="18"/>
        </w:rPr>
        <w:t>Ghafari M et al.  ·  Expert Rev Vaccines  ·  16.09.2026  ·  PMID 42750274</w:t>
      </w:r>
    </w:p>
    <w:p>
      <w:r>
        <w:t>Synthesearbeit von Literatur und Politikberichten zu globalen Impfstoff-Rollouts, insbesondere über Verteilungsszenarien, Beschaffung und dezentralisierte Herstellung.</w:t>
      </w:r>
    </w:p>
    <w:p>
      <w:r>
        <w:rPr>
          <w:b/>
        </w:rPr>
        <w:t xml:space="preserve">Ergebnis: </w:t>
      </w:r>
      <w:r>
        <w:t>COVID-19 zeigte: Schnelle Entwicklung ohne Gerechtigkeitsplanung schuf vermeidbare Schäden. Lösungen sind geografisch verteilte Herstellung, vorab vereinbarte epidemiologisch gesteuerte Zuteilung, transparente Datenaustausch und Neutralisierung kommerzieller Verzerrungen. Empfehlung: Institutionalisierte disaggregierte Berichterstattung und standardisierte Daten-Sharing.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und Schweizer System, Prinzipien auf DACH übertragbar.</w:t>
      </w:r>
    </w:p>
    <w:p>
      <w:r>
        <w:rPr>
          <w:color w:val="5A7D3A"/>
          <w:sz w:val="18"/>
        </w:rPr>
        <w:t>https://pubmed.ncbi.nlm.nih.gov/42750274/</w:t>
      </w:r>
    </w:p>
    <w:p>
      <w:pPr>
        <w:pStyle w:val="Heading2"/>
      </w:pPr>
      <w:r>
        <w:t>Inaktivierter Rotavirus-Impfstoff: Sicherheit und Immunogenität bei Kleinkindern</w:t>
      </w:r>
    </w:p>
    <w:p>
      <w:r>
        <w:rPr>
          <w:i/>
          <w:color w:val="666666"/>
          <w:sz w:val="18"/>
        </w:rPr>
        <w:t>Zhou Y et al.  ·  Nat Commun  ·  14.08.2026  ·  PMID 42733081</w:t>
      </w:r>
    </w:p>
    <w:p>
      <w:r>
        <w:t>Randomisierte, placebokontrollierte Phase-1-Studie zur Dosis-Eskalation von Rotavirus-Impfstoff bei 288 Kindern 2–71 Monate ohne vorherige Rotavirus-Impfung.</w:t>
      </w:r>
    </w:p>
    <w:p>
      <w:r>
        <w:rPr>
          <w:b/>
        </w:rPr>
        <w:t xml:space="preserve">Ergebnis: </w:t>
      </w:r>
      <w:r>
        <w:t>Keine impfstoffbezogenen SAEs; transiente Mild-bis-Mäßig-Fieber nur in Hochdosis-Säuglings-Gruppe (klinisch handhabbar). Neutralisierende Antikörper-GMT dose-abhängig erhöht. 3-Dosis-Säugling-Gruppe (320 EU): GMT 551,98 vs. 36,17 (Placebo), Serokonversionsrate 83,33 % vs. 10 %. 3-Dosis-Schema überlegen 2-Dosis.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Chinesische Studie, Sicherheits- und Immunogenitätsdaten auf frühe Klinische Phasen übertragbar.</w:t>
      </w:r>
    </w:p>
    <w:p>
      <w:r>
        <w:rPr>
          <w:color w:val="5A7D3A"/>
          <w:sz w:val="18"/>
        </w:rPr>
        <w:t>https://pubmed.ncbi.nlm.nih.gov/42733081/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2026-09-19T06:00:00Z</dcterms:created>
  <dcterms:modified xsi:type="dcterms:W3CDTF">2026-09-19T06:00:00Z</dcterms:modified>
  <cp:category/>
</cp:coreProperties>
</file>