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Impfen und Impfpraevention</w:t>
      </w:r>
    </w:p>
    <w:p>
      <w:r>
        <w:rPr>
          <w:i/>
          <w:color w:val="666666"/>
          <w:sz w:val="18"/>
        </w:rPr>
        <w:t>Stand: 19.09.2026  |  166 Studien  |  impfen.m-vf.de</w:t>
      </w:r>
    </w:p>
    <w:p>
      <w:pPr>
        <w:pStyle w:val="Heading1"/>
      </w:pPr>
      <w:r>
        <w:t>Aufgenommen am 19.09.2026</w:t>
      </w:r>
    </w:p>
    <w:p>
      <w:pPr>
        <w:pStyle w:val="Heading2"/>
      </w:pPr>
      <w:r>
        <w:t>Maschinenlernen identifiziert Null-Dosis-Kinder in Subsahara-Afrika</w:t>
      </w:r>
    </w:p>
    <w:p>
      <w:r>
        <w:rPr>
          <w:i/>
          <w:color w:val="666666"/>
          <w:sz w:val="18"/>
        </w:rPr>
        <w:t>Endehabtu BF et al.  ·  BMJ Health Care Inform  ·  18.09.2026  ·  PMID 42759970</w:t>
      </w:r>
    </w:p>
    <w:p>
      <w:r>
        <w:t>Prädiktives Modellentwicklungs-Projekt mit Daten von 27 subsaharischen Ländern (Demographic Health Survey 2016–2024) zur Risikoidentifikation von Kindern ohne Impfung.</w:t>
      </w:r>
    </w:p>
    <w:p>
      <w:r>
        <w:rPr>
          <w:b/>
        </w:rPr>
        <w:t xml:space="preserve">Ergebnis: </w:t>
      </w:r>
      <w:r>
        <w:t>LightGBM-Modell zeigte beste Gesamtleistung: 80 % Genauigkeit, 91 % Sensitivität, AUROC 0,78. Wichtigste Prädiktoren: Entbindungsort, Geburtsvorkontakten, Mutter-Tetanus-Impfung, Haushaltsvermögen, mütterliche Bildung. Ermöglicht frühe Risikoidentifikation.</w:t>
      </w:r>
    </w:p>
    <w:p>
      <w:r>
        <w:rPr>
          <w:b/>
          <w:sz w:val="19"/>
        </w:rPr>
        <w:t xml:space="preserve">Übertragbarkeit: </w:t>
      </w:r>
      <w:r>
        <w:rPr>
          <w:sz w:val="19"/>
        </w:rPr>
        <w:t>Subsahara-Afrika, digitales Tooldesign auf Länder mit WHO DHSatz übertragbar.</w:t>
      </w:r>
    </w:p>
    <w:p>
      <w:r>
        <w:rPr>
          <w:color w:val="5A7D3A"/>
          <w:sz w:val="18"/>
        </w:rPr>
        <w:t>https://pubmed.ncbi.nlm.nih.gov/42759970/</w:t>
      </w:r>
    </w:p>
    <w:p>
      <w:pPr>
        <w:pStyle w:val="Heading2"/>
      </w:pPr>
      <w:r>
        <w:t>RSV-Impfeffektivität bei älteren Erwachsenen in den USA zeigt hohe Wirksamkeit</w:t>
      </w:r>
    </w:p>
    <w:p>
      <w:r>
        <w:rPr>
          <w:i/>
          <w:color w:val="666666"/>
          <w:sz w:val="18"/>
        </w:rPr>
        <w:t>Lu Y et al.  ·  JAMA Netw Open  ·  01.09.2026  ·  PMID 42758507</w:t>
      </w:r>
    </w:p>
    <w:p>
      <w:r>
        <w:t>Nationale Kohortenstudie zur klinischen Wirksamkeit zweier RSV-Impfstoffe bei Medicare-Patienten ab 65 Jahren in der ersten Saison nach Zulassung (August 2023 bis März 2024).</w:t>
      </w:r>
    </w:p>
    <w:p>
      <w:r>
        <w:rPr>
          <w:b/>
        </w:rPr>
        <w:t xml:space="preserve">Ergebnis: </w:t>
      </w:r>
      <w:r>
        <w:t>RSVPreF3+AS01 und RSVpreF hatten eine Effektivität von 81,8 % (95-%-KI 80,0–83,4 %) gegen RSV-bedingte Hospitalisierungen und 85,0 % gegen RSV-bedingte Todesfälle. Brand-spezifisch: RSVPreF3+AS01 79,9 %, RSVpreF 85,1 %. Bei immungeschwächten Personen 72,2 %. Wirksam über alle Altersgruppen ab 65 Jahren.</w:t>
      </w:r>
    </w:p>
    <w:p>
      <w:r>
        <w:rPr>
          <w:b/>
          <w:sz w:val="19"/>
        </w:rPr>
        <w:t xml:space="preserve">Übertragbarkeit: </w:t>
      </w:r>
      <w:r>
        <w:rPr>
          <w:sz w:val="19"/>
        </w:rPr>
        <w:t>Medicare-Daten, vergleichbare Dokumentationspflichten wie Deutschland.</w:t>
      </w:r>
    </w:p>
    <w:p>
      <w:r>
        <w:rPr>
          <w:color w:val="5A7D3A"/>
          <w:sz w:val="18"/>
        </w:rPr>
        <w:t>https://pubmed.ncbi.nlm.nih.gov/42758507/</w:t>
      </w:r>
    </w:p>
    <w:p>
      <w:pPr>
        <w:pStyle w:val="Heading2"/>
      </w:pPr>
      <w:r>
        <w:t>Impfbefürwortung durch Fachpersonal: Trainingseffekt bei Hebammen und Pflegekräften</w:t>
      </w:r>
    </w:p>
    <w:p>
      <w:r>
        <w:rPr>
          <w:i/>
          <w:color w:val="666666"/>
          <w:sz w:val="18"/>
        </w:rPr>
        <w:t>Tiryaki Ö  ·  Biomedica  ·  20.08.2026  ·  PMID 42757794</w:t>
      </w:r>
    </w:p>
    <w:p>
      <w:r>
        <w:t>Quasi-experimentelle Studie mit Vorher-Nachher-Messung zur Wirkung eines Impfaufklärungstrainings auf die Impfbefürwortung bei 249 Hebammen und Pflegekräften.</w:t>
      </w:r>
    </w:p>
    <w:p>
      <w:r>
        <w:rPr>
          <w:b/>
        </w:rPr>
        <w:t xml:space="preserve">Ergebnis: </w:t>
      </w:r>
      <w:r>
        <w:t>Vaccine Advocacy Scale für Kinderimpfungen stieg signifikant von 45,19 ± 2,85 vor auf 46,95 ± 1,99 Punkte nach dem Training (Wilcoxon p = 0,000). Effekt niedrig, aber statistisch robust; Ausgangsniveau bereits hoch.</w:t>
      </w:r>
    </w:p>
    <w:p>
      <w:r>
        <w:rPr>
          <w:b/>
          <w:sz w:val="19"/>
        </w:rPr>
        <w:t xml:space="preserve">Übertragbarkeit: </w:t>
      </w:r>
      <w:r>
        <w:rPr>
          <w:sz w:val="19"/>
        </w:rPr>
        <w:t>Türkisches Setting, Pflegekräfte-Schulung auf Deutschland übertragbar.</w:t>
      </w:r>
    </w:p>
    <w:p>
      <w:r>
        <w:rPr>
          <w:color w:val="5A7D3A"/>
          <w:sz w:val="18"/>
        </w:rPr>
        <w:t>https://pubmed.ncbi.nlm.nih.gov/42757794/</w:t>
      </w:r>
    </w:p>
    <w:p>
      <w:pPr>
        <w:pStyle w:val="Heading2"/>
      </w:pPr>
      <w:r>
        <w:t>RSVPreF3-Impfstoff bei älteren Chinesen immunogenetisch gleichwertig zu globaler Population</w:t>
      </w:r>
    </w:p>
    <w:p>
      <w:r>
        <w:rPr>
          <w:i/>
          <w:color w:val="666666"/>
          <w:sz w:val="18"/>
        </w:rPr>
        <w:t>Guo X et al.  ·  Front Immunol  ·  03.09.2026  ·  PMID 42756146</w:t>
      </w:r>
    </w:p>
    <w:p>
      <w:r>
        <w:t>Phase-3-Immunbrückungs-Studie zur Nichtunterlegenheit von RSVPreF3 bei ≥60-jährigen chinesischen Erwachsenen gegenüber internationaler Vergleichsgruppe (6 Länder).</w:t>
      </w:r>
    </w:p>
    <w:p>
      <w:r>
        <w:rPr>
          <w:b/>
        </w:rPr>
        <w:t xml:space="preserve">Ergebnis: </w:t>
      </w:r>
      <w:r>
        <w:t>Nichtunterlegenheitskriterien erfüllt: GMT-Verhältnisse für RSV-A/B 1,20/1,10 (akzeptabel ≤1,5), Seroresponse-Unterschiede 3,40 %/4,89 % (akzeptabel ≤10 %). RSV-A/B-Neutralisationstiter 5523/8073 ED60 (China), 6605/8286 (Ausland). Lokale Nebenwirkungen meist mild-moderat, Ernsthaftigkeit niedrig (0,2–0,3 % immune-vermittelt).</w:t>
      </w:r>
    </w:p>
    <w:p>
      <w:r>
        <w:rPr>
          <w:b/>
          <w:sz w:val="19"/>
        </w:rPr>
        <w:t xml:space="preserve">Übertragbarkeit: </w:t>
      </w:r>
      <w:r>
        <w:rPr>
          <w:sz w:val="19"/>
        </w:rPr>
        <w:t>China, aber Immunogenität-Ergebnis zur Globalität des Impfstoffs übertra gbar.</w:t>
      </w:r>
    </w:p>
    <w:p>
      <w:r>
        <w:rPr>
          <w:color w:val="5A7D3A"/>
          <w:sz w:val="18"/>
        </w:rPr>
        <w:t>https://pubmed.ncbi.nlm.nih.gov/42756146/</w:t>
      </w:r>
    </w:p>
    <w:p>
      <w:pPr>
        <w:pStyle w:val="Heading2"/>
      </w:pPr>
      <w:r>
        <w:t>Impfgerechtigkeit als Planungsprinzip: Lehren aus der COVID-19-Pandemie</w:t>
      </w:r>
    </w:p>
    <w:p>
      <w:r>
        <w:rPr>
          <w:i/>
          <w:color w:val="666666"/>
          <w:sz w:val="18"/>
        </w:rPr>
        <w:t>Ghafari M et al.  ·  Expert Rev Vaccines  ·  16.09.2026  ·  PMID 42750274</w:t>
      </w:r>
    </w:p>
    <w:p>
      <w:r>
        <w:t>Synthesearbeit von Literatur und Politikberichten zu globalen Impfstoff-Rollouts, insbesondere über Verteilungsszenarien, Beschaffung und dezentralisierte Herstellung.</w:t>
      </w:r>
    </w:p>
    <w:p>
      <w:r>
        <w:rPr>
          <w:b/>
        </w:rPr>
        <w:t xml:space="preserve">Ergebnis: </w:t>
      </w:r>
      <w:r>
        <w:t>COVID-19 zeigte: Schnelle Entwicklung ohne Gerechtigkeitsplanung schuf vermeidbare Schäden. Lösungen sind geografisch verteilte Herstellung, vorab vereinbarte epidemiologisch gesteuerte Zuteilung, transparente Datenaustausch und Neutralisierung kommerzieller Verzerrungen. Empfehlung: Institutionalisierte disaggregierte Berichterstattung und standardisierte Daten-Sharing.</w:t>
      </w:r>
    </w:p>
    <w:p>
      <w:r>
        <w:rPr>
          <w:b/>
          <w:sz w:val="19"/>
        </w:rPr>
        <w:t xml:space="preserve">Übertragbarkeit: </w:t>
      </w:r>
      <w:r>
        <w:rPr>
          <w:sz w:val="19"/>
        </w:rPr>
        <w:t>Europäisches und Schweizer System, Prinzipien auf DACH übertragbar.</w:t>
      </w:r>
    </w:p>
    <w:p>
      <w:r>
        <w:rPr>
          <w:color w:val="5A7D3A"/>
          <w:sz w:val="18"/>
        </w:rPr>
        <w:t>https://pubmed.ncbi.nlm.nih.gov/42750274/</w:t>
      </w:r>
    </w:p>
    <w:p>
      <w:pPr>
        <w:pStyle w:val="Heading2"/>
      </w:pPr>
      <w:r>
        <w:t>Inaktivierter Rotavirus-Impfstoff: Sicherheit und Immunogenität bei Kleinkindern</w:t>
      </w:r>
    </w:p>
    <w:p>
      <w:r>
        <w:rPr>
          <w:i/>
          <w:color w:val="666666"/>
          <w:sz w:val="18"/>
        </w:rPr>
        <w:t>Zhou Y et al.  ·  Nat Commun  ·  14.08.2026  ·  PMID 42733081</w:t>
      </w:r>
    </w:p>
    <w:p>
      <w:r>
        <w:t>Randomisierte, placebokontrollierte Phase-1-Studie zur Dosis-Eskalation von Rotavirus-Impfstoff bei 288 Kindern 2–71 Monate ohne vorherige Rotavirus-Impfung.</w:t>
      </w:r>
    </w:p>
    <w:p>
      <w:r>
        <w:rPr>
          <w:b/>
        </w:rPr>
        <w:t xml:space="preserve">Ergebnis: </w:t>
      </w:r>
      <w:r>
        <w:t>Keine impfstoffbezogenen SAEs; transiente Mild-bis-Mäßig-Fieber nur in Hochdosis-Säuglings-Gruppe (klinisch handhabbar). Neutralisierende Antikörper-GMT dose-abhängig erhöht. 3-Dosis-Säugling-Gruppe (320 EU): GMT 551,98 vs. 36,17 (Placebo), Serokonversionsrate 83,33 % vs. 10 %. 3-Dosis-Schema überlegen 2-Dosis.</w:t>
      </w:r>
    </w:p>
    <w:p>
      <w:r>
        <w:rPr>
          <w:b/>
          <w:sz w:val="19"/>
        </w:rPr>
        <w:t xml:space="preserve">Übertragbarkeit: </w:t>
      </w:r>
      <w:r>
        <w:rPr>
          <w:sz w:val="19"/>
        </w:rPr>
        <w:t>Chinesische Studie, Sicherheits- und Immunogenitätsdaten auf frühe Klinische Phasen übertragbar.</w:t>
      </w:r>
    </w:p>
    <w:p>
      <w:r>
        <w:rPr>
          <w:color w:val="5A7D3A"/>
          <w:sz w:val="18"/>
        </w:rPr>
        <w:t>https://pubmed.ncbi.nlm.nih.gov/42733081/</w:t>
      </w:r>
    </w:p>
    <w:p>
      <w:pPr>
        <w:pStyle w:val="Heading1"/>
      </w:pPr>
      <w:r>
        <w:t>Aufgenommen am 18.09.2026</w:t>
      </w:r>
    </w:p>
    <w:p>
      <w:pPr>
        <w:pStyle w:val="Heading2"/>
      </w:pPr>
      <w:r>
        <w:t>RSV-Hospitalisierungen vor Impfstoffeinführung: Altersgruppen und Datenlücken</w:t>
      </w:r>
    </w:p>
    <w:p>
      <w:r>
        <w:rPr>
          <w:i/>
          <w:color w:val="666666"/>
          <w:sz w:val="18"/>
        </w:rPr>
        <w:t>Imai-Boulter C et al.  ·  Med J Aust  ·  Sept. 2026  ·  PMID 42754405</w:t>
      </w:r>
    </w:p>
    <w:p>
      <w:r>
        <w:t>Retrospektive bevölkerungsbasierte Studie zur RSV-Krankheitslast in Australien vor Immunisierungsstart (2016–2019 Hospitalisierungen, 2023 Labor-Meldungen).</w:t>
      </w:r>
    </w:p>
    <w:p>
      <w:r>
        <w:rPr>
          <w:b/>
        </w:rPr>
        <w:t xml:space="preserve">Ergebnis: </w:t>
      </w:r>
      <w:r>
        <w:t>Hospitalisierungen bei &lt;3 Monaten alt: 4014/100000, bei ≥65 Jahren: 122/100000 (steigende Tendenz); 55 % der Bronchiolitiden mit ungeklärter Ursache; Labor-Meldungen höchst bei 6–11 Monaten (7778/100000). Zeigt Datenlücken bei Fallerfassung und Testfrequenz.</w:t>
      </w:r>
    </w:p>
    <w:p>
      <w:r>
        <w:rPr>
          <w:b/>
          <w:sz w:val="19"/>
        </w:rPr>
        <w:t xml:space="preserve">Übertragbarkeit: </w:t>
      </w:r>
      <w:r>
        <w:rPr>
          <w:sz w:val="19"/>
        </w:rPr>
        <w:t>Australien (Versorgungsdaten verfügbar); ähnliche Datenstrukturen in Deutschland schwächer (kein nationales Impfregister).</w:t>
      </w:r>
    </w:p>
    <w:p>
      <w:r>
        <w:rPr>
          <w:color w:val="5A7D3A"/>
          <w:sz w:val="18"/>
        </w:rPr>
        <w:t>https://pubmed.ncbi.nlm.nih.gov/42754405/</w:t>
      </w:r>
    </w:p>
    <w:p>
      <w:pPr>
        <w:pStyle w:val="Heading2"/>
      </w:pPr>
      <w:r>
        <w:t>MZB1-Spiegel sagen Langzeitschutz nach Hepatitis-B-Impfung voraus</w:t>
      </w:r>
    </w:p>
    <w:p>
      <w:r>
        <w:rPr>
          <w:i/>
          <w:color w:val="666666"/>
          <w:sz w:val="18"/>
        </w:rPr>
        <w:t>Huang ML et al.  ·  Front Immunol  ·  02.09.2026  ·  PMID 42751130</w:t>
      </w:r>
    </w:p>
    <w:p>
      <w:r>
        <w:t>Single-Cell-RNA-Seq plus nested case-control und Interventionsstudie zur Identifikation von B-Zell-Markern für stabilen Anti-HBs-Schutz.</w:t>
      </w:r>
    </w:p>
    <w:p>
      <w:r>
        <w:rPr>
          <w:b/>
        </w:rPr>
        <w:t xml:space="preserve">Ergebnis: </w:t>
      </w:r>
      <w:r>
        <w:t>MZB1 signifikant erhöht in B-Zellen von Langzeitschützer/innen (p=2,1e-12); Serum-MZB1 &gt;1000 mIU/ml nach 30 Jahren: 7,1±2,2 ng/ml vs. Anti-HBs-Negative: 0,96±0,1 ng/ml (p&lt;0,0001); MZB1 korreliert stark mit Anti-HBs-Titer (r=0,892). MZB1 schon nach 1. Dosis erhöht, VE besser bei hohen MZB1-Konzentrationen.</w:t>
      </w:r>
    </w:p>
    <w:p>
      <w:r>
        <w:rPr>
          <w:b/>
          <w:sz w:val="19"/>
        </w:rPr>
        <w:t xml:space="preserve">Übertragbarkeit: </w:t>
      </w:r>
      <w:r>
        <w:rPr>
          <w:sz w:val="19"/>
        </w:rPr>
        <w:t>China (Validierungskohorten mobil), Biomarker universal; kein nationales Vorteil, aber wissenschaftlich relevant.</w:t>
      </w:r>
    </w:p>
    <w:p>
      <w:r>
        <w:rPr>
          <w:color w:val="5A7D3A"/>
          <w:sz w:val="18"/>
        </w:rPr>
        <w:t>https://pubmed.ncbi.nlm.nih.gov/42751130/</w:t>
      </w:r>
    </w:p>
    <w:p>
      <w:pPr>
        <w:pStyle w:val="Heading2"/>
      </w:pPr>
      <w:r>
        <w:t>Wertaffirmation in Impfkampagnen: Small Effects auf Impfbereitschaft</w:t>
      </w:r>
    </w:p>
    <w:p>
      <w:r>
        <w:rPr>
          <w:i/>
          <w:color w:val="666666"/>
          <w:sz w:val="18"/>
        </w:rPr>
        <w:t>Wolsko C et al.  ·  PLoS One  ·  16.09.2026  ·  PMID 42748077</w:t>
      </w:r>
    </w:p>
    <w:p>
      <w:r>
        <w:t>Online-Befragung von 1170 Ungeimpften (USA, Frühjahr 2021) zu COVID-Impfbotschaften, die auf persönliche Werte ausgerichtet sind.</w:t>
      </w:r>
    </w:p>
    <w:p>
      <w:r>
        <w:rPr>
          <w:b/>
        </w:rPr>
        <w:t xml:space="preserve">Ergebnis: </w:t>
      </w:r>
      <w:r>
        <w:t>Botschaften, die Misstrauen in Regierung und Sorgen vor Freiheitsbeschränkung bestätigten, zeigten höhere Impfbereitschaft und mehr Vertrauen als Kontrolle; Effektgrößen klein, aber bedeutsam für Vaccine Hesitancy-Subgruppen.</w:t>
      </w:r>
    </w:p>
    <w:p>
      <w:r>
        <w:rPr>
          <w:b/>
          <w:sz w:val="19"/>
        </w:rPr>
        <w:t xml:space="preserve">Übertragbarkeit: </w:t>
      </w:r>
      <w:r>
        <w:rPr>
          <w:sz w:val="19"/>
        </w:rPr>
        <w:t>USA (Wertbetonung kulturabhängig); Kommunikationsstrategie prinzipiell übertragbar, aber Wertrahmen müssen regional angepasst werden.</w:t>
      </w:r>
    </w:p>
    <w:p>
      <w:r>
        <w:rPr>
          <w:color w:val="5A7D3A"/>
          <w:sz w:val="18"/>
        </w:rPr>
        <w:t>https://pubmed.ncbi.nlm.nih.gov/42748077/</w:t>
      </w:r>
    </w:p>
    <w:p>
      <w:pPr>
        <w:pStyle w:val="Heading2"/>
      </w:pPr>
      <w:r>
        <w:t>Impf-Fachkompetenz in Äthiopien schwach: nur 50 % erfüllen Mindeststandard</w:t>
      </w:r>
    </w:p>
    <w:p>
      <w:r>
        <w:rPr>
          <w:i/>
          <w:color w:val="666666"/>
          <w:sz w:val="18"/>
        </w:rPr>
        <w:t>Olani A et al.  ·  PLoS One  ·  15.09.2026  ·  PMID 42743175</w:t>
      </w:r>
    </w:p>
    <w:p>
      <w:r>
        <w:t>Observationale Studie mit Checklisten zur Impf-Fachkompetenz in 34 äthiopischen Gesundheitseinrichtungen.</w:t>
      </w:r>
    </w:p>
    <w:p>
      <w:r>
        <w:rPr>
          <w:b/>
        </w:rPr>
        <w:t xml:space="preserve">Ergebnis: </w:t>
      </w:r>
      <w:r>
        <w:t>340 Impfungen beobachtet; Gesamtkompetenz 50 % (Schwelle: 80 %); beste Leistung: Verabreichung (71 %), schlechteste: Dokumentation (22 %); Defizite in Infektionskontrolle und Patienten-Kommunikation. Lücke zwischen theoretischem Wissen und praktischer Umsetzung.</w:t>
      </w:r>
    </w:p>
    <w:p>
      <w:r>
        <w:rPr>
          <w:b/>
          <w:sz w:val="19"/>
        </w:rPr>
        <w:t xml:space="preserve">Übertragbarkeit: </w:t>
      </w:r>
      <w:r>
        <w:rPr>
          <w:sz w:val="19"/>
        </w:rPr>
        <w:t>Äthiopien (Niedrig-Ressourcen), begrenzte Übertragbarkeit; zeigt jedoch global relevante Schulungs- und Überwachungsdefizite.</w:t>
      </w:r>
    </w:p>
    <w:p>
      <w:r>
        <w:rPr>
          <w:color w:val="5A7D3A"/>
          <w:sz w:val="18"/>
        </w:rPr>
        <w:t>https://pubmed.ncbi.nlm.nih.gov/42743175/</w:t>
      </w:r>
    </w:p>
    <w:p>
      <w:pPr>
        <w:pStyle w:val="Heading2"/>
      </w:pPr>
      <w:r>
        <w:t>Ökologische Studien zu Impfeffekten könnten Versorgungsdaten für Deutschland liefern</w:t>
      </w:r>
    </w:p>
    <w:p>
      <w:r>
        <w:rPr>
          <w:i/>
          <w:color w:val="666666"/>
          <w:sz w:val="18"/>
        </w:rPr>
        <w:t>Nolting T et al.  ·  BMJ Open  ·  11.09.2026  ·  PMID 42731829</w:t>
      </w:r>
    </w:p>
    <w:p>
      <w:r>
        <w:t>Scoping Review, die ökologische Studien zu Impfeffektivität systematisieren soll, mit Fokus auf Deutschland.</w:t>
      </w:r>
    </w:p>
    <w:p>
      <w:r>
        <w:rPr>
          <w:b/>
        </w:rPr>
        <w:t xml:space="preserve">Ergebnis: </w:t>
      </w:r>
      <w:r>
        <w:t>Studienprotokoll ohne empirische Ergebnisse; zeigt einen Forschungsbedarf für vergleichende Analysen der Impfbeiträge zu Morbidität und Mortalität.</w:t>
      </w:r>
    </w:p>
    <w:p>
      <w:r>
        <w:rPr>
          <w:b/>
          <w:sz w:val="19"/>
        </w:rPr>
        <w:t xml:space="preserve">Übertragbarkeit: </w:t>
      </w:r>
      <w:r>
        <w:rPr>
          <w:sz w:val="19"/>
        </w:rPr>
        <w:t>Deutschland, zukünftige Datenquelle; Übertragbarkeit hängt von Verfügbarkeit von Routinedaten ab.</w:t>
      </w:r>
    </w:p>
    <w:p>
      <w:r>
        <w:rPr>
          <w:color w:val="5A7D3A"/>
          <w:sz w:val="18"/>
        </w:rPr>
        <w:t>https://pubmed.ncbi.nlm.nih.gov/42731829/</w:t>
      </w:r>
    </w:p>
    <w:p>
      <w:pPr>
        <w:pStyle w:val="Heading2"/>
      </w:pPr>
      <w:r>
        <w:t>Impfantwort bei Krebs und Immunsuppression: RESPONSE-Kohortenstudie</w:t>
      </w:r>
    </w:p>
    <w:p>
      <w:r>
        <w:rPr>
          <w:i/>
          <w:color w:val="666666"/>
          <w:sz w:val="18"/>
        </w:rPr>
        <w:t>Felipe Fumero E et al.  ·  JMIR Res Protoc  ·  23.07.2026  ·  PMID 42492070</w:t>
      </w:r>
    </w:p>
    <w:p>
      <w:r>
        <w:t>Prospektive Kohortenstudie zu humoralen und zellulären Reaktionen auf Atemwegs-Impfstoffe bei onkologischen Patienten, Rekrutierung seit März 2025 laufend.</w:t>
      </w:r>
    </w:p>
    <w:p>
      <w:r>
        <w:rPr>
          <w:b/>
        </w:rPr>
        <w:t xml:space="preserve">Ergebnis: </w:t>
      </w:r>
      <w:r>
        <w:t>Protokoll mit laufender Rekrutierung; Fokus auf frühe und späte Booster-Effekte. Finale Analysen ab Q3 2026 geplant; zielt auf T-Zell-Antworten, die bei dieser Gruppe zuverlässiger sind als Antikörper.</w:t>
      </w:r>
    </w:p>
    <w:p>
      <w:r>
        <w:rPr>
          <w:b/>
          <w:sz w:val="19"/>
        </w:rPr>
        <w:t xml:space="preserve">Übertragbarkeit: </w:t>
      </w:r>
      <w:r>
        <w:rPr>
          <w:sz w:val="19"/>
        </w:rPr>
        <w:t>Deutschland (Köln, Universitätsklinik), direkt übertragbar auf Versorgungsfragen bei Immunsuppression.</w:t>
      </w:r>
    </w:p>
    <w:p>
      <w:r>
        <w:rPr>
          <w:color w:val="5A7D3A"/>
          <w:sz w:val="18"/>
        </w:rPr>
        <w:t>https://pubmed.ncbi.nlm.nih.gov/42492070/</w:t>
      </w:r>
    </w:p>
    <w:p>
      <w:pPr>
        <w:pStyle w:val="Heading1"/>
      </w:pPr>
      <w:r>
        <w:t>Aufgenommen am 17.09.2026</w:t>
      </w:r>
    </w:p>
    <w:p>
      <w:pPr>
        <w:pStyle w:val="Heading2"/>
      </w:pPr>
      <w:r>
        <w:t>Gonorrhoe-Impfstoff: Modellierte Prävalenzreduktion in abgelegenem indigenem Australien</w:t>
      </w:r>
    </w:p>
    <w:p>
      <w:r>
        <w:rPr>
          <w:i/>
          <w:color w:val="666666"/>
          <w:sz w:val="18"/>
        </w:rPr>
        <w:t>Padeniya TN et al.  ·  Sex Health  ·  20.10.2026  ·  PMID 42749469</w:t>
      </w:r>
    </w:p>
    <w:p>
      <w:r>
        <w:t>Mathematisches Transmissionsmodell (individual-basiert) zur Analyse der Effektivität einer hypothetischen Gonorrhoe-Impfung in abgelegenen Gemeinden mit hoher Inzidenz bei 16–36-jährigen australischen Ureinwohnern.</w:t>
      </w:r>
    </w:p>
    <w:p>
      <w:r>
        <w:rPr>
          <w:b/>
        </w:rPr>
        <w:t xml:space="preserve">Ergebnis: </w:t>
      </w:r>
      <w:r>
        <w:t>Bei 5-Jahres-Nachverfolgung mit 40 % jährlicher Impfquote und Impfstoff mit 25–50 % Schutzwirksamkeit: relative Prävalenzreduktion 15–28 %. Bei 80 % Impfquote und 75 % Wirksamkeit: 95 % (5 Jahre) bis 98 % (10 Jahre) Reduktion. Auch mit partieller Wirksamkeit substantielle Prävalenzrückgänge möglich.</w:t>
      </w:r>
    </w:p>
    <w:p>
      <w:r>
        <w:rPr>
          <w:b/>
          <w:sz w:val="19"/>
        </w:rPr>
        <w:t xml:space="preserve">Übertragbarkeit: </w:t>
      </w:r>
      <w:r>
        <w:rPr>
          <w:sz w:val="19"/>
        </w:rPr>
        <w:t>Australien mit Registersystem und hoher Datenqualität, aber Bevölkerungszusammensetzung und epidemiologische Lage unterscheiden sich von Deutschland.</w:t>
      </w:r>
    </w:p>
    <w:p>
      <w:r>
        <w:rPr>
          <w:color w:val="5A7D3A"/>
          <w:sz w:val="18"/>
        </w:rPr>
        <w:t>https://pubmed.ncbi.nlm.nih.gov/42749469/</w:t>
      </w:r>
    </w:p>
    <w:p>
      <w:pPr>
        <w:pStyle w:val="Heading2"/>
      </w:pPr>
      <w:r>
        <w:t>Herpes-Zoster-Impfung: Wirksamkeit gegen Zoster, Ophthalmicus und postherpetische Neuralgie</w:t>
      </w:r>
    </w:p>
    <w:p>
      <w:r>
        <w:rPr>
          <w:i/>
          <w:color w:val="666666"/>
          <w:sz w:val="18"/>
        </w:rPr>
        <w:t>Heen E et al.  ·  Rev Med Virol  ·  Sept. 2026  ·  PMID 42748460</w:t>
      </w:r>
    </w:p>
    <w:p>
      <w:r>
        <w:t>Systematische Übersicht mit Metaanalyse von 18 Studien (3 RCT, 15 Beobachtungsstudien) zur Effektivität des Recombinant-Zoster-Impfstoffs (RZV) gegen Herpes zoster und Komplikationen in ≥50-Jährigen.</w:t>
      </w:r>
    </w:p>
    <w:p>
      <w:r>
        <w:rPr>
          <w:b/>
        </w:rPr>
        <w:t xml:space="preserve">Ergebnis: </w:t>
      </w:r>
      <w:r>
        <w:t>RZV zeigte in RCT 95 % Effektivität gegen Herpes zoster (hochgradig), substantielle Reduktion von Herpes-Zoster-Ophthalmicus (hochgradig), wahrscheinlich postherpetische Neuralgia (moderat). Durable Schutzwirkung mind. 11 Jahre nachgewiesen (niedrig bis moderat). Mögliche Assoziation mit reduziertem Demenzrisiko (niedrig, durch healthy-vaccinee-bias-Unsicherheit).</w:t>
      </w:r>
    </w:p>
    <w:p>
      <w:r>
        <w:rPr>
          <w:b/>
          <w:sz w:val="19"/>
        </w:rPr>
        <w:t xml:space="preserve">Übertragbarkeit: </w:t>
      </w:r>
      <w:r>
        <w:rPr>
          <w:sz w:val="19"/>
        </w:rPr>
        <w:t>Norwegen und Schweden, vergleichbare altersstrukturierte Bevölkerungen und Impfregister; Befunde direkt auf deutsches Zoster-Impfprogramm übertragbar.</w:t>
      </w:r>
    </w:p>
    <w:p>
      <w:r>
        <w:rPr>
          <w:color w:val="5A7D3A"/>
          <w:sz w:val="18"/>
        </w:rPr>
        <w:t>https://pubmed.ncbi.nlm.nih.gov/42748460/</w:t>
      </w:r>
    </w:p>
    <w:p>
      <w:pPr>
        <w:pStyle w:val="Heading2"/>
      </w:pPr>
      <w:r>
        <w:t>Kulturell angepasste HPV-Aufklärung und Impfintention in Saudi-Arabien</w:t>
      </w:r>
    </w:p>
    <w:p>
      <w:r>
        <w:rPr>
          <w:i/>
          <w:color w:val="666666"/>
          <w:sz w:val="18"/>
        </w:rPr>
        <w:t>Elsayed EA et al.  ·  JMIR Public Health Surveill  ·  16.09.2026  ·  PMID 42748422</w:t>
      </w:r>
    </w:p>
    <w:p>
      <w:r>
        <w:t>Quasi-experimentelle Studie (Prä-Post mit Kontrollgruppe, n=380) zur Wirkung einer 45-minütigen, an lokale Werte adaptierten Schulungsintervention auf HPV-Wissen, Gesundheitsbewusstsein und Impfbereitschaft.</w:t>
      </w:r>
    </w:p>
    <w:p>
      <w:r>
        <w:rPr>
          <w:b/>
        </w:rPr>
        <w:t xml:space="preserve">Ergebnis: </w:t>
      </w:r>
      <w:r>
        <w:t>In der Interventionsgruppe zeigte sich bei 3-Monats-Nachverfolgung gegenüber Kontrollen: Wissen (β=0,84, p&lt;0,001, d=0,45), Bewusstsein (β=0,88, p&lt;0,001, d=0,44), Einstellung (β=0,70, p&lt;0,001, d=0,38), Impfabsicht (β=0,86, p&lt;0,001, d=0,82, großer Effekt). Effekte über Altersgruppen, Bildung und Gesundheitskompetenz konsistent.</w:t>
      </w:r>
    </w:p>
    <w:p>
      <w:r>
        <w:rPr>
          <w:b/>
          <w:sz w:val="19"/>
        </w:rPr>
        <w:t xml:space="preserve">Übertragbarkeit: </w:t>
      </w:r>
      <w:r>
        <w:rPr>
          <w:sz w:val="19"/>
        </w:rPr>
        <w:t>Saudi-Arabien, begrenzt übertragbar, aber Modell für kulturell sensible Beratung in diversen deutschen Bevölkerungsgruppen.</w:t>
      </w:r>
    </w:p>
    <w:p>
      <w:r>
        <w:rPr>
          <w:color w:val="5A7D3A"/>
          <w:sz w:val="18"/>
        </w:rPr>
        <w:t>https://pubmed.ncbi.nlm.nih.gov/42748422/</w:t>
      </w:r>
    </w:p>
    <w:p>
      <w:pPr>
        <w:pStyle w:val="Heading2"/>
      </w:pPr>
      <w:r>
        <w:t>Personalisierte Neoantigen-Impfstoff-Therapie bei Kopf-Hals-Karzinom vermeidet Rezidive</w:t>
      </w:r>
    </w:p>
    <w:p>
      <w:r>
        <w:rPr>
          <w:i/>
          <w:color w:val="666666"/>
          <w:sz w:val="18"/>
        </w:rPr>
        <w:t>Ottensmeier C et al.  ·  Nat Commun  ·  17.08.2026  ·  PMID 42744798</w:t>
      </w:r>
    </w:p>
    <w:p>
      <w:r>
        <w:t>Randomisierte Phase-I-Studie (n=32) zur Adjuvans-Therapie mit TG4050, einem individualisierten viralen Neoantigen-Impfstoff mit bis zu 30 tumor-spezifischen Neoantigenen, nach Standard-Chemotherapie vs. abwartendem Vorgehen.</w:t>
      </w:r>
    </w:p>
    <w:p>
      <w:r>
        <w:rPr>
          <w:b/>
        </w:rPr>
        <w:t xml:space="preserve">Ergebnis: </w:t>
      </w:r>
      <w:r>
        <w:t>Unmittelbare TG4050-Gruppe: 0 von 16 Rezidive nach 30 Monaten Nachverfolgung; Kontrollgruppe: 3 von 16 Rezidive. T-Zell-Antworten gegen Neoantigen in 73,3 % detektiert (Median 3 Neoantigen pro Responder), persistent über 1 Jahr. Neoantigen-spezifische CD8+ T-Zellen zeigten Effektor- und geweberesidente Marker.</w:t>
      </w:r>
    </w:p>
    <w:p>
      <w:r>
        <w:rPr>
          <w:b/>
          <w:sz w:val="19"/>
        </w:rPr>
        <w:t xml:space="preserve">Übertragbarkeit: </w:t>
      </w:r>
      <w:r>
        <w:rPr>
          <w:sz w:val="19"/>
        </w:rPr>
        <w:t>Multinationale Studie (UK, Frankreich, Niederlande), übertragbar auf deutsches Klinikum mit entsprechender molekularer Tumorcharakterisierung.</w:t>
      </w:r>
    </w:p>
    <w:p>
      <w:r>
        <w:rPr>
          <w:color w:val="5A7D3A"/>
          <w:sz w:val="18"/>
        </w:rPr>
        <w:t>https://pubmed.ncbi.nlm.nih.gov/42744798/</w:t>
      </w:r>
    </w:p>
    <w:p>
      <w:pPr>
        <w:pStyle w:val="Heading2"/>
      </w:pPr>
      <w:r>
        <w:t>HPV-Impfung bei Erwachsenen 27–45 Jahren: Quote und Trends in USA</w:t>
      </w:r>
    </w:p>
    <w:p>
      <w:r>
        <w:rPr>
          <w:i/>
          <w:color w:val="666666"/>
          <w:sz w:val="18"/>
        </w:rPr>
        <w:t>Fisher-Borne M et al.  ·  Hum Vaccin Immunother  ·  10.09.2026  ·  PMID 42723147</w:t>
      </w:r>
    </w:p>
    <w:p>
      <w:r>
        <w:t>Retrospektive Auswertung kommerzieller Claims-Daten 2019–2023 zur HPV-Impfquote bei erwachsenen Frauen und Männern unter shared clinical decision-making.</w:t>
      </w:r>
    </w:p>
    <w:p>
      <w:r>
        <w:rPr>
          <w:b/>
        </w:rPr>
        <w:t xml:space="preserve">Ergebnis: </w:t>
      </w:r>
      <w:r>
        <w:t>Annual HPV-Impfinitiation stieg von 0,21 % (2019) auf 0,54 % (2023); kumulativ über 5 Jahre 0,84 % bei 3–4 Mio. jährlich ungeimpften Personen. Apotheken als Impfort nahmen zu, regionale Variation 0,23–1,56 %.</w:t>
      </w:r>
    </w:p>
    <w:p>
      <w:r>
        <w:rPr>
          <w:b/>
          <w:sz w:val="19"/>
        </w:rPr>
        <w:t xml:space="preserve">Übertragbarkeit: </w:t>
      </w:r>
      <w:r>
        <w:rPr>
          <w:sz w:val="19"/>
        </w:rPr>
        <w:t>USA mit grundlegend anderer Versicherungsstruktur; aber Befunde zur Rolle von Apotheken und regionaler Varianz relevant für Deutschland.</w:t>
      </w:r>
    </w:p>
    <w:p>
      <w:r>
        <w:rPr>
          <w:color w:val="5A7D3A"/>
          <w:sz w:val="18"/>
        </w:rPr>
        <w:t>https://pubmed.ncbi.nlm.nih.gov/42723147/</w:t>
      </w:r>
    </w:p>
    <w:p>
      <w:pPr>
        <w:pStyle w:val="Heading2"/>
      </w:pPr>
      <w:r>
        <w:t>Immunosuppression-Entzug und mRNA-Impfung bei Nierentransplantierten</w:t>
      </w:r>
    </w:p>
    <w:p>
      <w:r>
        <w:rPr>
          <w:i/>
          <w:color w:val="666666"/>
          <w:sz w:val="18"/>
        </w:rPr>
        <w:t>Goerlich N et al.  ·  Front Immunol  ·  17.08.2026  ·  PMID 42676352</w:t>
      </w:r>
    </w:p>
    <w:p>
      <w:r>
        <w:t>Hochdimensionale Analyse der Immunzellkomposition bei Nierentransplantierten unter temporärem Mycophenolsäure-Entzug während mRNA-1273-Impfung.</w:t>
      </w:r>
    </w:p>
    <w:p>
      <w:r>
        <w:rPr>
          <w:b/>
        </w:rPr>
        <w:t xml:space="preserve">Ergebnis: </w:t>
      </w:r>
      <w:r>
        <w:t>Mycophenolsäure-Entzug war assoziiert mit erhöhten CD4+/CD8+ T-Zell-Frequenzen (p=0,039 bzw. p=0,001) und verminderten Monozyten- und B-Zell-Frequenzen (p=0,014 bzw. p=0,023). Effekte variierten je nach Transplantationsdauer und Alter; kein einzelner Marker war prädiktiv für Serokonversion.</w:t>
      </w:r>
    </w:p>
    <w:p>
      <w:r>
        <w:rPr>
          <w:b/>
          <w:sz w:val="19"/>
        </w:rPr>
        <w:t xml:space="preserve">Übertragbarkeit: </w:t>
      </w:r>
      <w:r>
        <w:rPr>
          <w:sz w:val="19"/>
        </w:rPr>
        <w:t>Deutsche Klinikstudie, direkt übertragbar auf deutsches Transplantationssystem mit vergleichbarer Immunsuppression.</w:t>
      </w:r>
    </w:p>
    <w:p>
      <w:r>
        <w:rPr>
          <w:color w:val="5A7D3A"/>
          <w:sz w:val="18"/>
        </w:rPr>
        <w:t>https://pubmed.ncbi.nlm.nih.gov/42676352/</w:t>
      </w:r>
    </w:p>
    <w:p>
      <w:pPr>
        <w:pStyle w:val="Heading2"/>
      </w:pPr>
      <w:r>
        <w:t>IL-33 und sST2 nach Tdap-Booster-Impfung bei finnischen Kindern</w:t>
      </w:r>
    </w:p>
    <w:p>
      <w:r>
        <w:rPr>
          <w:i/>
          <w:color w:val="666666"/>
          <w:sz w:val="18"/>
        </w:rPr>
        <w:t>Anabe D et al.  ·  Cytokine  ·  13.08.2026  ·  PMID 42594457</w:t>
      </w:r>
    </w:p>
    <w:p>
      <w:r>
        <w:t>Longitudinale Untersuchung von Interleukin-33 und löslichem ST2 in Serum vor und nach Tdap-IPV-Booster-Impfung in unterschiedlichen Altersgruppen (7–70 Jahre).</w:t>
      </w:r>
    </w:p>
    <w:p>
      <w:r>
        <w:rPr>
          <w:b/>
        </w:rPr>
        <w:t xml:space="preserve">Ergebnis: </w:t>
      </w:r>
      <w:r>
        <w:t>IL-33 in 70 % der Fälle nicht nachweisbar. Serum-sST2 zeigte signifikanten Anstieg über 365 Tage (p&lt;0,001), mit höherem Ausgangswert bei jüngeren Altersgruppen. Keine Assoziation zwischen IL-33/sST2 und Impfantwort oder Zytokinen.</w:t>
      </w:r>
    </w:p>
    <w:p>
      <w:r>
        <w:rPr>
          <w:b/>
          <w:sz w:val="19"/>
        </w:rPr>
        <w:t xml:space="preserve">Übertragbarkeit: </w:t>
      </w:r>
      <w:r>
        <w:rPr>
          <w:sz w:val="19"/>
        </w:rPr>
        <w:t>Finnland, vergleichbares skandinavisches Gesundheitssystem und Register; etablierte Referenzwerte für präklinische Marker.</w:t>
      </w:r>
    </w:p>
    <w:p>
      <w:r>
        <w:rPr>
          <w:color w:val="5A7D3A"/>
          <w:sz w:val="18"/>
        </w:rPr>
        <w:t>https://pubmed.ncbi.nlm.nih.gov/42594457/</w:t>
      </w:r>
    </w:p>
    <w:p>
      <w:pPr>
        <w:pStyle w:val="Heading1"/>
      </w:pPr>
      <w:r>
        <w:t>Aufgenommen am 16.09.2026</w:t>
      </w:r>
    </w:p>
    <w:p>
      <w:pPr>
        <w:pStyle w:val="Heading2"/>
      </w:pPr>
      <w:r>
        <w:t>Digitale Assistenten für HPV-Impfung und Gebärmutterhalskrebs-Screening – was funktioniert?</w:t>
      </w:r>
    </w:p>
    <w:p>
      <w:r>
        <w:rPr>
          <w:i/>
          <w:color w:val="666666"/>
          <w:sz w:val="18"/>
        </w:rPr>
        <w:t>Umbetzhanova A et al.  ·  Front Public Health  ·  31.08.2026  ·  PMID 42741336</w:t>
      </w:r>
    </w:p>
    <w:p>
      <w:r>
        <w:t>Systematische Übersicht von 14 Studien (2016–2026) zur Frage, ob interaktive digitale Tools (Chatbots, Apps, Serious Games) HPV-Impfung und Gebärmutterhals-Screening erhöhen.</w:t>
      </w:r>
    </w:p>
    <w:p>
      <w:r>
        <w:rPr>
          <w:b/>
        </w:rPr>
        <w:t xml:space="preserve">Ergebnis: </w:t>
      </w:r>
      <w:r>
        <w:t>Chatbots zeigten vielversprechende Kurzzeit-Effekte auf Termin-Buchung (moderate Evidenz), aber hohe Abbruch-Quoten bei Mehrfach-Dosen. Theorie-basierte Apps erhöhten Zytologie-Inanspruchnahme kurzfristig (moderate Evidenz). Ein Serious Game korrelierte mit höheren CIN2+-Erkennungsraten, aber Confounding war schwerwiegend. Insgesamt: moderate Kurzzeit-Effekte, aber unzureichende Evidenz für Dauer.</w:t>
      </w:r>
    </w:p>
    <w:p>
      <w:r>
        <w:rPr>
          <w:b/>
          <w:sz w:val="19"/>
        </w:rPr>
        <w:t xml:space="preserve">Übertragbarkeit: </w:t>
      </w:r>
      <w:r>
        <w:rPr>
          <w:sz w:val="19"/>
        </w:rPr>
        <w:t>Mehrländer-Übersicht, digitale Hürden international ähnlich</w:t>
      </w:r>
    </w:p>
    <w:p>
      <w:r>
        <w:rPr>
          <w:color w:val="5A7D3A"/>
          <w:sz w:val="18"/>
        </w:rPr>
        <w:t>https://pubmed.ncbi.nlm.nih.gov/42741336/</w:t>
      </w:r>
    </w:p>
    <w:p>
      <w:pPr>
        <w:pStyle w:val="Heading2"/>
      </w:pPr>
      <w:r>
        <w:t>Impfen in Schulen: Was Schulkrankenpfleger in Colorado als Barrieren berichten</w:t>
      </w:r>
    </w:p>
    <w:p>
      <w:r>
        <w:rPr>
          <w:i/>
          <w:color w:val="666666"/>
          <w:sz w:val="18"/>
        </w:rPr>
        <w:t>Nienstedt L et al.  ·  J Sch Health  ·  Okt. 2026  ·  PMID 42740714</w:t>
      </w:r>
    </w:p>
    <w:p>
      <w:r>
        <w:t>Querschnittsbefragung von 368 Schulkrankenpflegern in Colorado 2024, ob und wie sie schulgebundene Impfaktionen (SAVEs) umsetzten.</w:t>
      </w:r>
    </w:p>
    <w:p>
      <w:r>
        <w:rPr>
          <w:b/>
        </w:rPr>
        <w:t xml:space="preserve">Ergebnis: </w:t>
      </w:r>
      <w:r>
        <w:t>Schulen ohne SAVEs nannten Mangel an Leitlinien (Top-3-Barriere), fehlende Personalzeit und mangelnde externe Partnerschaften als Haupthindernisse. In ländlichen Schulen rangierte Impf-Politisierung unter Top-Barrieren; in Schulen mit niedrigem Einkommen und Gymnasien war Zeitdruck dominant. Schulen mit SAVEs betont externe Partnerschaften und elterliches Vertrauen als Erfolsfaktoren.</w:t>
      </w:r>
    </w:p>
    <w:p>
      <w:r>
        <w:rPr>
          <w:b/>
          <w:sz w:val="19"/>
        </w:rPr>
        <w:t xml:space="preserve">Übertragbarkeit: </w:t>
      </w:r>
      <w:r>
        <w:rPr>
          <w:sz w:val="19"/>
        </w:rPr>
        <w:t>USA - nur Zugangswegs-Hürden übertragbar, nicht System</w:t>
      </w:r>
    </w:p>
    <w:p>
      <w:r>
        <w:rPr>
          <w:color w:val="5A7D3A"/>
          <w:sz w:val="18"/>
        </w:rPr>
        <w:t>https://pubmed.ncbi.nlm.nih.gov/42740714/</w:t>
      </w:r>
    </w:p>
    <w:p>
      <w:pPr>
        <w:pStyle w:val="Heading2"/>
      </w:pPr>
      <w:r>
        <w:t>Grippeschutz bei Älteren: Bildung und Umgebung beeinflussen Impfquote</w:t>
      </w:r>
    </w:p>
    <w:p>
      <w:r>
        <w:rPr>
          <w:i/>
          <w:color w:val="666666"/>
          <w:sz w:val="18"/>
        </w:rPr>
        <w:t>Zhang C et al.  ·  Zhonghua Yu Fang Yi Xue Za Zhi  ·  06.09.2026  ·  PMID 42736149</w:t>
      </w:r>
    </w:p>
    <w:p>
      <w:r>
        <w:t>Befragung von 700 Personen ≥60 Jahren in Shaanxi (China) 2025 zu Einflussfaktoren auf Grippeimpfung.</w:t>
      </w:r>
    </w:p>
    <w:p>
      <w:r>
        <w:rPr>
          <w:b/>
        </w:rPr>
        <w:t xml:space="preserve">Ergebnis: </w:t>
      </w:r>
      <w:r>
        <w:t>49,7% geimpft, 50,3% ungeimpft. Schutzfaktoren: Hochschulbildung (OR 2,77), Stadtwohnung (OR 1,94), hohes Infektionsrisiko-Bewusstsein (OR 4,89), Glaube an Impfnutzen (OR 10,96), Familie/Freunde mit Impfgeschichte (OR 5,07). Bildung und soziales Umfeld sind stärkste Prädiktoren – nicht Zugang allein.</w:t>
      </w:r>
    </w:p>
    <w:p>
      <w:r>
        <w:rPr>
          <w:b/>
          <w:sz w:val="19"/>
        </w:rPr>
        <w:t xml:space="preserve">Übertragbarkeit: </w:t>
      </w:r>
      <w:r>
        <w:rPr>
          <w:sz w:val="19"/>
        </w:rPr>
        <w:t>China - Befund zu Risiko-Wahrnehmung und Vertrauen transnational relevant</w:t>
      </w:r>
    </w:p>
    <w:p>
      <w:r>
        <w:rPr>
          <w:color w:val="5A7D3A"/>
          <w:sz w:val="18"/>
        </w:rPr>
        <w:t>https://pubmed.ncbi.nlm.nih.gov/42736149/</w:t>
      </w:r>
    </w:p>
    <w:p>
      <w:pPr>
        <w:pStyle w:val="Heading2"/>
      </w:pPr>
      <w:r>
        <w:t>RSV-Impfung in der Schwangerschaft und Frühgeburtsrisiko: Metaanalyse</w:t>
      </w:r>
    </w:p>
    <w:p>
      <w:r>
        <w:rPr>
          <w:i/>
          <w:color w:val="666666"/>
          <w:sz w:val="18"/>
        </w:rPr>
        <w:t>Leskinen N et al.  ·  Immun Inflamm Dis  ·  Sept. 2026  ·  PMID 42712161</w:t>
      </w:r>
    </w:p>
    <w:p>
      <w:r>
        <w:t>Metaanalyse von 7 Studien (3 RCTs, 4 Beobachtungsstudien; insgesamt ~17.000 Geburten) zur Frage, ob mütterliche RSV-PreF-Impfung Frühgeburten oder NICU-Aufnahmen erhöht.</w:t>
      </w:r>
    </w:p>
    <w:p>
      <w:r>
        <w:rPr>
          <w:b/>
        </w:rPr>
        <w:t xml:space="preserve">Ergebnis: </w:t>
      </w:r>
      <w:r>
        <w:t>RCTs zeigten erhöhtes Frühgeburtsrisiko (RR 1,26, 95%-KI 1,08–1,46); Beobachtungsstudien nicht (RR 0,78, 95%-KI 0,46–1,32). Gepoolte Analyse: kein Gesamteffekt (RR 0,96, 95%-KI 0,68–1,38). NICU-Aufnahme nicht erhöht (RR 0,74). Evidenzsicherheit niedrig bis sehr niedrig; Überwachung empfohlen.</w:t>
      </w:r>
    </w:p>
    <w:p>
      <w:r>
        <w:rPr>
          <w:b/>
          <w:sz w:val="19"/>
        </w:rPr>
        <w:t xml:space="preserve">Übertragbarkeit: </w:t>
      </w:r>
      <w:r>
        <w:rPr>
          <w:sz w:val="19"/>
        </w:rPr>
        <w:t>Mehrländer-Studie, übertragbar auf europaähnliche Settings</w:t>
      </w:r>
    </w:p>
    <w:p>
      <w:r>
        <w:rPr>
          <w:color w:val="5A7D3A"/>
          <w:sz w:val="18"/>
        </w:rPr>
        <w:t>https://pubmed.ncbi.nlm.nih.gov/42712161/</w:t>
      </w:r>
    </w:p>
    <w:p>
      <w:pPr>
        <w:pStyle w:val="Heading2"/>
      </w:pPr>
      <w:r>
        <w:t>Auffrischimpfung gegen JN.1-Variante aktiviert neue B-Zell-Subpopulationen</w:t>
      </w:r>
    </w:p>
    <w:p>
      <w:r>
        <w:rPr>
          <w:i/>
          <w:color w:val="666666"/>
          <w:sz w:val="18"/>
        </w:rPr>
        <w:t>Stankov MV et al.  ·  Nat Commun  ·  24.07.2026  ·  PMID 42498786</w:t>
      </w:r>
    </w:p>
    <w:p>
      <w:r>
        <w:t>Deutsche Längsschnittstudie (n=42, überwiegend mehrfach Geimpfte und Infizierte) untersuchte, wie JN.1-adaptierte mRNA-Booster die Antikörper- und B-Zell-Antwort verändern.</w:t>
      </w:r>
    </w:p>
    <w:p>
      <w:r>
        <w:rPr>
          <w:b/>
        </w:rPr>
        <w:t xml:space="preserve">Ergebnis: </w:t>
      </w:r>
      <w:r>
        <w:t>IgG-Bindung und Neutralisierungstiter gegen JN.1 stiegen; Antigen-spezifische Memory-B-Zellen zeigten durch Mutationen (somatic hypermutation) verbesserte JN.1-Bindung, ohne dass neue naive B-Zellen massiv rekrutiert wurden. Effekt: Reifung vorbestehender Memory-B-Zellen statt Neuausrichtung.</w:t>
      </w:r>
    </w:p>
    <w:p>
      <w:r>
        <w:rPr>
          <w:b/>
          <w:sz w:val="19"/>
        </w:rPr>
        <w:t xml:space="preserve">Übertragbarkeit: </w:t>
      </w:r>
      <w:r>
        <w:rPr>
          <w:sz w:val="19"/>
        </w:rPr>
        <w:t>Deutschland, vergleichbare Impfstrategie und Dokumentation</w:t>
      </w:r>
    </w:p>
    <w:p>
      <w:r>
        <w:rPr>
          <w:color w:val="5A7D3A"/>
          <w:sz w:val="18"/>
        </w:rPr>
        <w:t>https://pubmed.ncbi.nlm.nih.gov/42498786/</w:t>
      </w:r>
    </w:p>
    <w:p>
      <w:pPr>
        <w:pStyle w:val="Heading2"/>
      </w:pPr>
      <w:r>
        <w:t>CAR-T-Therapien in Europa: Axicabtagene vs. Tisagenlecleucel bei großzelligem Lymphom</w:t>
      </w:r>
    </w:p>
    <w:p>
      <w:r>
        <w:rPr>
          <w:i/>
          <w:color w:val="666666"/>
          <w:sz w:val="18"/>
        </w:rPr>
        <w:t>Li H et al.  ·  PeerJ  ·  06.07.2026  ·  PMID 42428526</w:t>
      </w:r>
    </w:p>
    <w:p>
      <w:r>
        <w:t>Systematische Übersicht von 8 europäischen Kohortenstudien mit 2.178 Patienten verglich Wirksamkeit und Toxizität zweier CAR-T-Produkte gegen diffuses großzelliges B-Zell-Lymphom.</w:t>
      </w:r>
    </w:p>
    <w:p>
      <w:r>
        <w:rPr>
          <w:b/>
        </w:rPr>
        <w:t xml:space="preserve">Ergebnis: </w:t>
      </w:r>
      <w:r>
        <w:t>Axicabtagene zeigte höhere 3-Monats-Ansprechquoten (signifikant, p nicht genannt), aber niedrigere 12-Monats-progressionsfreie Überlebensraten; höhere Raten für Zytokinfreibsetzungssyndrom und neurotoxisches Syndrom (ICANS) alle Grade sowie Grade ≥3 ICANS, häufigere Tocilizumab-Gabe. Unter europäischen Alltagsbedingungen zeigt sich ein Wirksamkeits-Toxizitäts-Trade-off.</w:t>
      </w:r>
    </w:p>
    <w:p>
      <w:r>
        <w:rPr>
          <w:b/>
          <w:sz w:val="19"/>
        </w:rPr>
        <w:t xml:space="preserve">Übertragbarkeit: </w:t>
      </w:r>
      <w:r>
        <w:rPr>
          <w:sz w:val="19"/>
        </w:rPr>
        <w:t>Europa - acht Kohorten, vergleichbares Versicherungssystem</w:t>
      </w:r>
    </w:p>
    <w:p>
      <w:r>
        <w:rPr>
          <w:color w:val="5A7D3A"/>
          <w:sz w:val="18"/>
        </w:rPr>
        <w:t>https://pubmed.ncbi.nlm.nih.gov/42428526/</w:t>
      </w:r>
    </w:p>
    <w:p>
      <w:pPr>
        <w:pStyle w:val="Heading1"/>
      </w:pPr>
      <w:r>
        <w:t>Aufgenommen am 15.09.2026</w:t>
      </w:r>
    </w:p>
    <w:p>
      <w:pPr>
        <w:pStyle w:val="Heading2"/>
      </w:pPr>
      <w:r>
        <w:t>COVID-19-Pandemie verbesserte Wissen und Einstellung zur Polioimpfung in Pakistan</w:t>
      </w:r>
    </w:p>
    <w:p>
      <w:r>
        <w:rPr>
          <w:i/>
          <w:color w:val="666666"/>
          <w:sz w:val="18"/>
        </w:rPr>
        <w:t>Ullah A et al.  ·  East Mediterr Health J  ·  03.09.2026  ·  PMID 42734198</w:t>
      </w:r>
    </w:p>
    <w:p>
      <w:r>
        <w:t>Querschnittsstudie mit 308 Eltern von Kindern unter fünf Jahren in Nord-Waziristan, Pakistan (Januar bis April 2025) zum Wissensstand über Polioimpfung vor und nach COVID-19.</w:t>
      </w:r>
    </w:p>
    <w:p>
      <w:r>
        <w:rPr>
          <w:b/>
        </w:rPr>
        <w:t xml:space="preserve">Ergebnis: </w:t>
      </w:r>
      <w:r>
        <w:t>Mittlere Wissenspunktzahl stieg von 6,2±2,3 (vor COVID-19) auf 8,3±2,1 (nach COVID-19; p&lt;0,0001). Gutes Wissen (Punktzahl ≥9) nahm von 36,3 % auf 58,7 % zu, Fehlvorstellungen sanken von 64,9 % auf 35,1 %. Empfehlungen von Fachpersonal (85 %), Social-Media-Kampagnen (76 %) und Verfechter religiöser Führer (55 %) trugen zur Verbesserung bei.</w:t>
      </w:r>
    </w:p>
    <w:p>
      <w:r>
        <w:rPr>
          <w:b/>
          <w:sz w:val="19"/>
        </w:rPr>
        <w:t xml:space="preserve">Übertragbarkeit: </w:t>
      </w:r>
      <w:r>
        <w:rPr>
          <w:sz w:val="19"/>
        </w:rPr>
        <w:t>Pakistan – Impfakzeptanz-Befunde, aber anderes Gesundheitssystem</w:t>
      </w:r>
    </w:p>
    <w:p>
      <w:r>
        <w:rPr>
          <w:color w:val="5A7D3A"/>
          <w:sz w:val="18"/>
        </w:rPr>
        <w:t>https://pubmed.ncbi.nlm.nih.gov/42734198/</w:t>
      </w:r>
    </w:p>
    <w:p>
      <w:pPr>
        <w:pStyle w:val="Heading2"/>
      </w:pPr>
      <w:r>
        <w:t>Herpes Zoster-Impfstoff LZ901 schützt 91,6 Prozent der Geimpften vor Erkrankung</w:t>
      </w:r>
    </w:p>
    <w:p>
      <w:r>
        <w:rPr>
          <w:i/>
          <w:color w:val="666666"/>
          <w:sz w:val="18"/>
        </w:rPr>
        <w:t>Jin P et al.  ·  Nat Commun  ·  07.08.2026  ·  PMID 42733065</w:t>
      </w:r>
    </w:p>
    <w:p>
      <w:r>
        <w:t>Randomisierte, placebokontrollierte Phase-3-Studie zur Wirksamkeit und Sicherheit des Herpes-Zoster-Impfstoffs LZ901 (rekombinante gE-Fc-Fusionprotein) bei 26 018 Erwachsenen ab 40 Jahren über 12 Monate.</w:t>
      </w:r>
    </w:p>
    <w:p>
      <w:r>
        <w:rPr>
          <w:b/>
        </w:rPr>
        <w:t xml:space="preserve">Ergebnis: </w:t>
      </w:r>
      <w:r>
        <w:t>Impfeffektivität gegen Herpes Zoster 91,6 % (95%-KI 86,3–95,3; p&lt;0,001); bei 40–69 Jahren 93,9 %, bei ≥70 Jahren 66,9 %. Gegen Post-Zoster-Neuralgie 95,9 % (95%-KI 63,9–99,9). Injektionsstellen- und systemische Reaktionen erhöht, Grad-3-Reaktionen selten (0,3 % vs. 0,4 % Placebo), keine schwerwiegenden unerwünschten Ereignisse.</w:t>
      </w:r>
    </w:p>
    <w:p>
      <w:r>
        <w:rPr>
          <w:b/>
          <w:sz w:val="19"/>
        </w:rPr>
        <w:t xml:space="preserve">Übertragbarkeit: </w:t>
      </w:r>
      <w:r>
        <w:rPr>
          <w:sz w:val="19"/>
        </w:rPr>
        <w:t>China, vergleichbare epidemiologische Zielgruppe und klinische Endpunkte</w:t>
      </w:r>
    </w:p>
    <w:p>
      <w:r>
        <w:rPr>
          <w:color w:val="5A7D3A"/>
          <w:sz w:val="18"/>
        </w:rPr>
        <w:t>https://pubmed.ncbi.nlm.nih.gov/42733065/</w:t>
      </w:r>
    </w:p>
    <w:p>
      <w:pPr>
        <w:pStyle w:val="Heading2"/>
      </w:pPr>
      <w:r>
        <w:t>Verständnis der Herpes-Zoster-Erkrankung steigert Impfquote bei älteren Erwachsenen in China</w:t>
      </w:r>
    </w:p>
    <w:p>
      <w:r>
        <w:rPr>
          <w:i/>
          <w:color w:val="666666"/>
          <w:sz w:val="18"/>
        </w:rPr>
        <w:t>Bolanos R et al.  ·  Expert Rev Vaccines  ·  12.09.2026  ·  PMID 42728842</w:t>
      </w:r>
    </w:p>
    <w:p>
      <w:r>
        <w:t>Querschnittsstudie mit 1556 Bürgern ab 60 Jahren aus Shenzhen, China (August–Oktober 2024) zu psychosozialen und familiären Faktoren der Herpes-Zoster-Impfakzeptanz.</w:t>
      </w:r>
    </w:p>
    <w:p>
      <w:r>
        <w:rPr>
          <w:b/>
        </w:rPr>
        <w:t xml:space="preserve">Ergebnis: </w:t>
      </w:r>
      <w:r>
        <w:t>8,0 % der Teilnehmer waren geimpft. Besseres Verständnis (Kohärenz) war mit höherer Impfquote assoziiert (AOR 1,15; 95%-KI 1,07–1,24). Impfmüdigkeit korrelierte mit niedrigerer Quote (AOR 0,79; 95%-KI 0,62–0,99). Stark modifizierbare psychosoziale Faktoren identifiziert.</w:t>
      </w:r>
    </w:p>
    <w:p>
      <w:r>
        <w:rPr>
          <w:b/>
          <w:sz w:val="19"/>
        </w:rPr>
        <w:t xml:space="preserve">Übertragbarkeit: </w:t>
      </w:r>
      <w:r>
        <w:rPr>
          <w:sz w:val="19"/>
        </w:rPr>
        <w:t>China – Versorgungskontext anderer, Impfskepsis-Mechanismen aber übertragbar</w:t>
      </w:r>
    </w:p>
    <w:p>
      <w:r>
        <w:rPr>
          <w:color w:val="5A7D3A"/>
          <w:sz w:val="18"/>
        </w:rPr>
        <w:t>https://pubmed.ncbi.nlm.nih.gov/42728842/</w:t>
      </w:r>
    </w:p>
    <w:p>
      <w:pPr>
        <w:pStyle w:val="Heading2"/>
      </w:pPr>
      <w:r>
        <w:t>Mobile-App zur HPV-Impfberatung erhöhte Impfrate bei Kindern auf 48 Prozent</w:t>
      </w:r>
    </w:p>
    <w:p>
      <w:r>
        <w:rPr>
          <w:i/>
          <w:color w:val="666666"/>
          <w:sz w:val="18"/>
        </w:rPr>
        <w:t>Cunningham-Erves J et al.  ·  JMIR Cancer  ·  09.09.2026  ·  PMID 42715554</w:t>
      </w:r>
    </w:p>
    <w:p>
      <w:r>
        <w:t>Pilot-RCT (Juni–September 2023) in zwei Stadtkliniken Tennessee mit 57 Eltern von Kindern 9–17 Jahren. HPVVaxFacts-App vermittelt tailorierte Impfaufklärung vor Klinikbesuch versus Ernährungsedukation (Aufmerksamkeitskontrolle).</w:t>
      </w:r>
    </w:p>
    <w:p>
      <w:r>
        <w:rPr>
          <w:b/>
        </w:rPr>
        <w:t xml:space="preserve">Ergebnis: </w:t>
      </w:r>
      <w:r>
        <w:t>HPV-Impfeinleitung Interventionsgruppe 48 %, Kontrollgruppe 17 % (Differenz 0,24; 95%-KI 0,03–0,46; p=0,01). Wissensgewinne und Besorgnis-Reduktion in der App-Gruppe größer, aber nicht statistisch signifikant (p=0,13 und p=0,14). 81 % der Eltern nutzten die App, Mehrheit fand Protokoll und App akzeptabel.</w:t>
      </w:r>
    </w:p>
    <w:p>
      <w:r>
        <w:rPr>
          <w:b/>
          <w:sz w:val="19"/>
        </w:rPr>
        <w:t xml:space="preserve">Übertragbarkeit: </w:t>
      </w:r>
      <w:r>
        <w:rPr>
          <w:sz w:val="19"/>
        </w:rPr>
        <w:t>USA – Impfakzeptanz-Intervention, transferierbar nur für Designprinzipien</w:t>
      </w:r>
    </w:p>
    <w:p>
      <w:r>
        <w:rPr>
          <w:color w:val="5A7D3A"/>
          <w:sz w:val="18"/>
        </w:rPr>
        <w:t>https://pubmed.ncbi.nlm.nih.gov/42715554/</w:t>
      </w:r>
    </w:p>
    <w:p>
      <w:pPr>
        <w:pStyle w:val="Heading2"/>
      </w:pPr>
      <w:r>
        <w:t>Altersabhängige Immunabläufe erklären unterschiedliche Influenza-Impfwirksamkeit über Lebensalter</w:t>
      </w:r>
    </w:p>
    <w:p>
      <w:r>
        <w:rPr>
          <w:i/>
          <w:color w:val="666666"/>
          <w:sz w:val="18"/>
        </w:rPr>
        <w:t>Liu J et al.  ·  Front Immunol  ·  24.08.2026  ·  PMID 42707705</w:t>
      </w:r>
    </w:p>
    <w:p>
      <w:r>
        <w:t>Narrativer Review zu Einflussfaktoren des Alters auf Influenza-Impfeffektivität und zu lebensalter-spezifischen Immunmechanismen von der Entwicklung über Reifung bis zur Immunoseneszenz.</w:t>
      </w:r>
    </w:p>
    <w:p>
      <w:r>
        <w:rPr>
          <w:b/>
        </w:rPr>
        <w:t xml:space="preserve">Ergebnis: </w:t>
      </w:r>
      <w:r>
        <w:t>Influenza-Impfeffektivität zeigt erhebliche altersabhängige Heterogenität. Immun-Remodellierung über die Lebensspanne prägt Vakzin-Reaktionen. Review schlägt altersgerechte Impfstoff-Optimierungsstrategie vor: spezifische Formulierungen für Kinder, Erwachsene und ältere Menschen statt ‚one-dose-fits-all'-Modell. Theoretische Grundlage für Präzisions-Impfparadigma gelegt.</w:t>
      </w:r>
    </w:p>
    <w:p>
      <w:r>
        <w:rPr>
          <w:b/>
          <w:sz w:val="19"/>
        </w:rPr>
        <w:t xml:space="preserve">Übertragbarkeit: </w:t>
      </w:r>
      <w:r>
        <w:rPr>
          <w:sz w:val="19"/>
        </w:rPr>
        <w:t>China (Institut), aber Immunologie-Mechanismen universal</w:t>
      </w:r>
    </w:p>
    <w:p>
      <w:r>
        <w:rPr>
          <w:color w:val="5A7D3A"/>
          <w:sz w:val="18"/>
        </w:rPr>
        <w:t>https://pubmed.ncbi.nlm.nih.gov/42707705/</w:t>
      </w:r>
    </w:p>
    <w:p>
      <w:pPr>
        <w:pStyle w:val="Heading2"/>
      </w:pPr>
      <w:r>
        <w:t>23-valente Pneumokokken-Polysaccharidimpfung senkte ambulante Pneumonie um knapp 20 Prozent</w:t>
      </w:r>
    </w:p>
    <w:p>
      <w:r>
        <w:rPr>
          <w:i/>
          <w:color w:val="666666"/>
          <w:sz w:val="18"/>
        </w:rPr>
        <w:t>Vernooij FS et al.  ·  Epidemiol Infect  ·  23.07.2026  ·  PMID 42487216</w:t>
      </w:r>
    </w:p>
    <w:p>
      <w:r>
        <w:t>Regression-Discontinuity-Analyse der Wirkung der PPV23-Impfung auf nicht-invasive Pneumokokken-Pneumonie bei Erwachsenen über 60 Jahren in den Niederlanden zwischen 2016 und 2023.</w:t>
      </w:r>
    </w:p>
    <w:p>
      <w:r>
        <w:rPr>
          <w:b/>
        </w:rPr>
        <w:t xml:space="preserve">Ergebnis: </w:t>
      </w:r>
      <w:r>
        <w:t>Gesamtwirksamkeit 19,7 % (95%-KI 8,5–29,7). Die Schutzwirkung nahm über die Zeit seit Impfberechtigung ab, blieb aber auch nach drei Jahren deutlich vorhanden. Daten aus 14 Laboren mit geschätzter Abdeckung von 34,9 % der niederländischen Bevölkerung.</w:t>
      </w:r>
    </w:p>
    <w:p>
      <w:r>
        <w:rPr>
          <w:b/>
          <w:sz w:val="19"/>
        </w:rPr>
        <w:t xml:space="preserve">Übertragbarkeit: </w:t>
      </w:r>
      <w:r>
        <w:rPr>
          <w:sz w:val="19"/>
        </w:rPr>
        <w:t>Niederlande, vergleichbares Versicherungssystem und Laborregister</w:t>
      </w:r>
    </w:p>
    <w:p>
      <w:r>
        <w:rPr>
          <w:color w:val="5A7D3A"/>
          <w:sz w:val="18"/>
        </w:rPr>
        <w:t>https://pubmed.ncbi.nlm.nih.gov/42487216/</w:t>
      </w:r>
    </w:p>
    <w:p>
      <w:pPr>
        <w:pStyle w:val="Heading1"/>
      </w:pPr>
      <w:r>
        <w:t>Aufgenommen am 14.09.2026</w:t>
      </w:r>
    </w:p>
    <w:p>
      <w:pPr>
        <w:pStyle w:val="Heading2"/>
      </w:pPr>
      <w:r>
        <w:t>Impfkampagnen-Monitoring: Abweichungen zwischen Felderhebungen und Nachbarschafts-Umfragen</w:t>
      </w:r>
    </w:p>
    <w:p>
      <w:r>
        <w:rPr>
          <w:i/>
          <w:color w:val="666666"/>
          <w:sz w:val="18"/>
        </w:rPr>
        <w:t>Thakkar N  ·  Gates Open Res  ·  01.09.2026  ·  PMID 42732098</w:t>
      </w:r>
    </w:p>
    <w:p>
      <w:r>
        <w:t>Analyse von Impfteam-Tallies (tägliche Dokumentation Geimpfter) versus Post-Campaign Coverage Surveys (PCCS) in Kano-Kampagne 2023 (Masern, Nigeria) unter Verwendung von Capture-Recapture-Methoden.</w:t>
      </w:r>
    </w:p>
    <w:p>
      <w:r>
        <w:rPr>
          <w:b/>
        </w:rPr>
        <w:t xml:space="preserve">Ergebnis: </w:t>
      </w:r>
      <w:r>
        <w:t>Erhebliche Diskrepanzen zwischen Tally-basierten Recapture-Schätzungen und PCCS-Daten. Tally-Daten ermöglichen präzise, quasi-zeitgleiche Monitoring und hohe räumliche Auflösung. Verschiedene Verzerrungsmodelle erklären Abweichungen: Doppelzählungen, fehlende Dokumentation, Non-Response in PCCS. Tally-Sheets als unkonventionelle, aber nachvollziehbare Populationsstichprobe zur Echtzeitbewertung von Implementierungsqualität.</w:t>
      </w:r>
    </w:p>
    <w:p>
      <w:r>
        <w:rPr>
          <w:b/>
          <w:sz w:val="19"/>
        </w:rPr>
        <w:t xml:space="preserve">Übertragbarkeit: </w:t>
      </w:r>
      <w:r>
        <w:rPr>
          <w:sz w:val="19"/>
        </w:rPr>
        <w:t>Nigeria/Subsahara-Kontext, Methodik auf deutsche Kampagnen-Evaluation anwendbar, insbes. zur Echtzeit-Qualitätskontrolle.</w:t>
      </w:r>
    </w:p>
    <w:p>
      <w:r>
        <w:rPr>
          <w:color w:val="5A7D3A"/>
          <w:sz w:val="18"/>
        </w:rPr>
        <w:t>https://pubmed.ncbi.nlm.nih.gov/42732098/</w:t>
      </w:r>
    </w:p>
    <w:p>
      <w:pPr>
        <w:pStyle w:val="Heading2"/>
      </w:pPr>
      <w:r>
        <w:t>Verzögerte Impfungen: Globale Systeme erfassen Catch-up-Dosen unzureichend</w:t>
      </w:r>
    </w:p>
    <w:p>
      <w:r>
        <w:rPr>
          <w:i/>
          <w:color w:val="666666"/>
          <w:sz w:val="18"/>
        </w:rPr>
        <w:t>Danovaro-Holliday MC et al.  ·  Gates Open Res  ·  01.09.2026  ·  PMID 42732096</w:t>
      </w:r>
    </w:p>
    <w:p>
      <w:r>
        <w:t>Analyse von WHO/UNICEF-Daten aus 194 Ländern (2016–2022) zur Fähigkeit von Immunisierungssystemen, verzögerte (Catch-up-)Impfdosen zu dokumentieren und zu monitoren.</w:t>
      </w:r>
    </w:p>
    <w:p>
      <w:r>
        <w:rPr>
          <w:b/>
        </w:rPr>
        <w:t xml:space="preserve">Ergebnis: </w:t>
      </w:r>
      <w:r>
        <w:t>Nur 55,5–64,4 % der Länder verfügten über Systeme zur Erfassung verzögerter Dosen; in Amerika (AMR) 77,1–82,9 %. Median-Anteil verzögerter MCV1-Dosen: 4,4 %. Catch-up-Aktivitäten würden gemeldete Impfquoten um ca. 4 Prozentpunkte erhöhen. Erhebliche regionale Unterschiede je nach Einkommensstatus und Gavi-Teilnahme.</w:t>
      </w:r>
    </w:p>
    <w:p>
      <w:r>
        <w:rPr>
          <w:b/>
          <w:sz w:val="19"/>
        </w:rPr>
        <w:t xml:space="preserve">Übertragbarkeit: </w:t>
      </w:r>
      <w:r>
        <w:rPr>
          <w:sz w:val="19"/>
        </w:rPr>
        <w:t>Globale Systemanalyse, zeigt Schwächen in deutscher Impfdokumentation (Deutschland hat kein zentrales Impfregister).</w:t>
      </w:r>
    </w:p>
    <w:p>
      <w:r>
        <w:rPr>
          <w:color w:val="5A7D3A"/>
          <w:sz w:val="18"/>
        </w:rPr>
        <w:t>https://pubmed.ncbi.nlm.nih.gov/42732096/</w:t>
      </w:r>
    </w:p>
    <w:p>
      <w:pPr>
        <w:pStyle w:val="Heading2"/>
      </w:pPr>
      <w:r>
        <w:t>Masern als Messlatte: Warum Eradikation Impfsysteme stärkt</w:t>
      </w:r>
    </w:p>
    <w:p>
      <w:r>
        <w:rPr>
          <w:i/>
          <w:color w:val="666666"/>
          <w:sz w:val="18"/>
        </w:rPr>
        <w:t>Durrheim DN et al.  ·  Hum Vaccin Immunother  ·  12.09.2026  ·  PMID 42730634</w:t>
      </w:r>
    </w:p>
    <w:p>
      <w:r>
        <w:t>Perspektive zur strategischen Bedeutung von Masern-Eradikation als Katalysator für Aufbau stabiler Impfprogramme und Gesundheitssysteme, besonders im Kontext steigender Ausbrüche.</w:t>
      </w:r>
    </w:p>
    <w:p>
      <w:r>
        <w:rPr>
          <w:b/>
        </w:rPr>
        <w:t xml:space="preserve">Ergebnis: </w:t>
      </w:r>
      <w:r>
        <w:t>Masern-Eradikation erfordert und katalysiert Fähigkeiten, die auch grundlegend für resiliente Systeme sind: hohe Routineimpfquoten, sensitive Surveillance, qualitätsgesicherte Labornetzwerke, schnelle Ausbruchreaktion, Gemeinschaftsbeteiligung. Aktuelle Ausbrüche signalisieren Systemfragilitäten und bieten Gelegenheit zur Stärkung von Impfgerechtigkeit.</w:t>
      </w:r>
    </w:p>
    <w:p>
      <w:r>
        <w:rPr>
          <w:b/>
          <w:sz w:val="19"/>
        </w:rPr>
        <w:t xml:space="preserve">Übertragbarkeit: </w:t>
      </w:r>
      <w:r>
        <w:rPr>
          <w:sz w:val="19"/>
        </w:rPr>
        <w:t>Conceptual framework zur Systemstärkung, international anwendbar, besonders relevant für Länder mit Ausbrüchen.</w:t>
      </w:r>
    </w:p>
    <w:p>
      <w:r>
        <w:rPr>
          <w:color w:val="5A7D3A"/>
          <w:sz w:val="18"/>
        </w:rPr>
        <w:t>https://pubmed.ncbi.nlm.nih.gov/42730634/</w:t>
      </w:r>
    </w:p>
    <w:p>
      <w:pPr>
        <w:pStyle w:val="Heading2"/>
      </w:pPr>
      <w:r>
        <w:t>Sierra Leone: Von Impfstoff-Verfügbarkeit zur Bevölkerungsschutzung – Deployment Readiness</w:t>
      </w:r>
    </w:p>
    <w:p>
      <w:r>
        <w:rPr>
          <w:i/>
          <w:color w:val="666666"/>
          <w:sz w:val="18"/>
        </w:rPr>
        <w:t>Ikoona EN et al.  ·  Ann Glob Health  ·  07.09.2026  ·  PMID 42730077</w:t>
      </w:r>
    </w:p>
    <w:p>
      <w:r>
        <w:t>Vergleichende Analyse von Impfkampagnen-Implementierung in Sierra Leone (COVID-19 2021, Ebola 2024, Mpox 2025) zur Identifikation kritischer Faktoren zwischen Zulassung und Vakzinierungsbeginn.</w:t>
      </w:r>
    </w:p>
    <w:p>
      <w:r>
        <w:rPr>
          <w:b/>
        </w:rPr>
        <w:t xml:space="preserve">Ergebnis: </w:t>
      </w:r>
      <w:r>
        <w:t>COVID-19: 45 Tage von EMA-Zulassung bis Impfstart; 73,2–86,7 % Deckung in Zielgruppe. Ebola: 1.851 Tage bis Impfstart trotz globales Stockpile seit 2021. Mpox: 106 Tage nach Ausbruchbestätigung, 186.053 Personen erreicht. &gt;84 % der COVID-Dosen über Surge-Kampagnen. Produktverfügbarkeit allein unzureichend; nationale Aktivierung, Finanzierung und Anbindung an globale Vorgaben entscheidend.</w:t>
      </w:r>
    </w:p>
    <w:p>
      <w:r>
        <w:rPr>
          <w:b/>
          <w:sz w:val="19"/>
        </w:rPr>
        <w:t xml:space="preserve">Übertragbarkeit: </w:t>
      </w:r>
      <w:r>
        <w:rPr>
          <w:sz w:val="19"/>
        </w:rPr>
        <w:t>Niedrig-/mitteleinkommiges Land (WHO-EMRO), Implementierungs-Framework transferierbar auf deutsche Krise-Impf-Vorbereitung.</w:t>
      </w:r>
    </w:p>
    <w:p>
      <w:r>
        <w:rPr>
          <w:color w:val="5A7D3A"/>
          <w:sz w:val="18"/>
        </w:rPr>
        <w:t>https://pubmed.ncbi.nlm.nih.gov/42730077/</w:t>
      </w:r>
    </w:p>
    <w:p>
      <w:pPr>
        <w:pStyle w:val="Heading2"/>
      </w:pPr>
      <w:r>
        <w:t>Dengue- und Chikungunya-Impfstoffe: Verfügbarkeit ungleich Erreichen von Risikogruppen</w:t>
      </w:r>
    </w:p>
    <w:p>
      <w:r>
        <w:rPr>
          <w:i/>
          <w:color w:val="666666"/>
          <w:sz w:val="18"/>
        </w:rPr>
        <w:t>La Porta CAM et al.  ·  Open Res Eur  ·  22.08.2026  ·  PMID 42728936</w:t>
      </w:r>
    </w:p>
    <w:p>
      <w:r>
        <w:t>Übersichtsarbeit zu Lücken zwischen Impfstoff-Zulassung/globaler Verfügbarkeit und epidemiologischer Risikoverbreitung sowie inkonsistentem Eintrag in nationale Impfprogramme.</w:t>
      </w:r>
    </w:p>
    <w:p>
      <w:r>
        <w:rPr>
          <w:b/>
        </w:rPr>
        <w:t xml:space="preserve">Ergebnis: </w:t>
      </w:r>
      <w:r>
        <w:t>Erhebliche Diskrepanzen zwischen geografischen Regionen mit regulatorischer Zulassung und Zonen höchster epidemiologischer Belastung (Dengue, Chikungunya). Nationale Impfprogramm-Inklusion fragmentarisch. Aktuelle Strategien reaktiv, unzureichend an Transmissionsmuster und Gesundheitssystem-Kapazität angepasst. Bedarf: Präparedness-orientierte Frameworks für zeitgerechte Einführung, nachhaltige Abdeckung, risikoadaptives Deployment.</w:t>
      </w:r>
    </w:p>
    <w:p>
      <w:r>
        <w:rPr>
          <w:b/>
          <w:sz w:val="19"/>
        </w:rPr>
        <w:t xml:space="preserve">Übertragbarkeit: </w:t>
      </w:r>
      <w:r>
        <w:rPr>
          <w:sz w:val="19"/>
        </w:rPr>
        <w:t>Global, zeigt Koordinationsproblem zwischen Zulassung und Programm-Aufnahme, relevant für deutsche Impfkalender-Entscheidungen.</w:t>
      </w:r>
    </w:p>
    <w:p>
      <w:r>
        <w:rPr>
          <w:color w:val="5A7D3A"/>
          <w:sz w:val="18"/>
        </w:rPr>
        <w:t>https://pubmed.ncbi.nlm.nih.gov/42728936/</w:t>
      </w:r>
    </w:p>
    <w:p>
      <w:pPr>
        <w:pStyle w:val="Heading2"/>
      </w:pPr>
      <w:r>
        <w:t>Norovirus-Impfung in England: Kostenwirksam durch Vermeidung von Nierenschäden</w:t>
      </w:r>
    </w:p>
    <w:p>
      <w:r>
        <w:rPr>
          <w:i/>
          <w:color w:val="666666"/>
          <w:sz w:val="18"/>
        </w:rPr>
        <w:t>Bolt H et al.  ·  Epidemics  ·  28.07.2026  ·  PMID 42537313</w:t>
      </w:r>
    </w:p>
    <w:p>
      <w:r>
        <w:t>Modellierung der gesundheitsökonomischen Effekte einer Norovirus-Impfung in England, die Akutnierenschäden als Spätfolge berücksichtigt.</w:t>
      </w:r>
    </w:p>
    <w:p>
      <w:r>
        <w:rPr>
          <w:b/>
        </w:rPr>
        <w:t xml:space="preserve">Ergebnis: </w:t>
      </w:r>
      <w:r>
        <w:t>Kombinierte Impfstrategie für Kinder und Ältere reduzierte symptomatische Infektionen um 64–66 %. Mit akuten Nierenschäden war eine Impfstoffeffektivität von 35 % noch kosteneffektiv (Schwellenwert: £ 20.000 pro QALY). Ohne Berücksichtigung der Nierenschäden war keine Strategie kosteneffektiv.</w:t>
      </w:r>
    </w:p>
    <w:p>
      <w:r>
        <w:rPr>
          <w:b/>
          <w:sz w:val="19"/>
        </w:rPr>
        <w:t xml:space="preserve">Übertragbarkeit: </w:t>
      </w:r>
      <w:r>
        <w:rPr>
          <w:sz w:val="19"/>
        </w:rPr>
        <w:t>Englisches Versorgungssystem, vergleichbar mit deutschen Health Economics-Evaluationen.</w:t>
      </w:r>
    </w:p>
    <w:p>
      <w:r>
        <w:rPr>
          <w:color w:val="5A7D3A"/>
          <w:sz w:val="18"/>
        </w:rPr>
        <w:t>https://pubmed.ncbi.nlm.nih.gov/42537313/</w:t>
      </w:r>
    </w:p>
    <w:p>
      <w:pPr>
        <w:pStyle w:val="Heading2"/>
      </w:pPr>
      <w:r>
        <w:t>Viruslast-Dynamik und Varianten: Was Frankreichs Routinetests über Impfschutz verraten</w:t>
      </w:r>
    </w:p>
    <w:p>
      <w:r>
        <w:rPr>
          <w:i/>
          <w:color w:val="666666"/>
          <w:sz w:val="18"/>
        </w:rPr>
        <w:t>Beaulieu M et al.  ·  PLoS Comput Biol  ·  27.07.2026  ·  PMID 42507756</w:t>
      </w:r>
    </w:p>
    <w:p>
      <w:r>
        <w:t>Analysen von 322.218 PCR-Tests aus Frankreich 2021–2022 zur Erfassung der Viraldy­namik unter verschiedenen Varianten und Impfstatus bei symptomatic infection.</w:t>
      </w:r>
    </w:p>
    <w:p>
      <w:r>
        <w:rPr>
          <w:b/>
        </w:rPr>
        <w:t xml:space="preserve">Ergebnis: </w:t>
      </w:r>
      <w:r>
        <w:t>Alter ≥ 65 Jahre: längere Clearance-Zeit um 2–6 Tage. Geimpfte Personen: 2–4 Tage kürzere Clearance. Omicron: um 2–3 Ct niedrigere Peakviruslast und um 1–2 Tage kürzere Clearance als Delta. Gemeinschafts-PCR-Testdaten ermöglichen robuste Virusdynamik-Schätzungen.</w:t>
      </w:r>
    </w:p>
    <w:p>
      <w:r>
        <w:rPr>
          <w:b/>
          <w:sz w:val="19"/>
        </w:rPr>
        <w:t xml:space="preserve">Übertragbarkeit: </w:t>
      </w:r>
      <w:r>
        <w:rPr>
          <w:sz w:val="19"/>
        </w:rPr>
        <w:t>Frankreich, ähnliche Surveillance-Infrastruktur wie Deutschland, Methode auf deutsche Testdaten übertragbar.</w:t>
      </w:r>
    </w:p>
    <w:p>
      <w:r>
        <w:rPr>
          <w:color w:val="5A7D3A"/>
          <w:sz w:val="18"/>
        </w:rPr>
        <w:t>https://pubmed.ncbi.nlm.nih.gov/42507756/</w:t>
      </w:r>
    </w:p>
    <w:p>
      <w:pPr>
        <w:pStyle w:val="Heading1"/>
      </w:pPr>
      <w:r>
        <w:t>Aufgenommen am 13.09.2026</w:t>
      </w:r>
    </w:p>
    <w:p>
      <w:pPr>
        <w:pStyle w:val="Heading2"/>
      </w:pPr>
      <w:r>
        <w:t>Impflücken in Peru: Wissen und Angst beeinflussen Impfvollständigkeit bei Kindern</w:t>
      </w:r>
    </w:p>
    <w:p>
      <w:r>
        <w:rPr>
          <w:i/>
          <w:color w:val="666666"/>
          <w:sz w:val="18"/>
        </w:rPr>
        <w:t>Castro-Fuentes MN et al.  ·  Front Public Health  ·  26.08.2026  ·  PMID 42718735</w:t>
      </w:r>
    </w:p>
    <w:p>
      <w:r>
        <w:t>Querschnittsstudie bei 123 Familien in Sunampe, Peru: Assoziationen zwischen Impflücken bei Kindern unter fünf Jahren und mütterlichen Wahrnehmungen, Wissen und Angst.</w:t>
      </w:r>
    </w:p>
    <w:p>
      <w:r>
        <w:rPr>
          <w:b/>
        </w:rPr>
        <w:t xml:space="preserve">Ergebnis: </w:t>
      </w:r>
      <w:r>
        <w:t>Impfverweigerung (≥3 verpasste Schlüsseldosen bis 6 Monate): signifikante Prädiktoren waren Mangel an Wissen über Impfalter (OR: 10,96; p &lt; 0,001) und Nichtbesuch von Impfberatungssitzungen (OR: 3,32; p = 0,026). Angst vor Nebenwirkungen (99,2 % der Mütter berichteten sie) war nicht signifikant (Hinweis auf Antwortverzerrung). Modell: AUC = 0,852. Todesfälle unter 5 Jahren (2017–2022): 10 Fälle, davon 6 pneumokokkal-assoziierten.</w:t>
      </w:r>
    </w:p>
    <w:p>
      <w:r>
        <w:rPr>
          <w:b/>
          <w:sz w:val="19"/>
        </w:rPr>
        <w:t xml:space="preserve">Übertragbarkeit: </w:t>
      </w:r>
      <w:r>
        <w:rPr>
          <w:sz w:val="19"/>
        </w:rPr>
        <w:t>Peru – Befund zu Wissenslücken und Impfpfaden in untermotivierter Bevölkerung auf Deutschland nicht direkt übertragbar, aber qualitativ relevant für Migrationsgruppen</w:t>
      </w:r>
    </w:p>
    <w:p>
      <w:r>
        <w:rPr>
          <w:color w:val="5A7D3A"/>
          <w:sz w:val="18"/>
        </w:rPr>
        <w:t>https://pubmed.ncbi.nlm.nih.gov/42718735/</w:t>
      </w:r>
    </w:p>
    <w:p>
      <w:pPr>
        <w:pStyle w:val="Heading2"/>
      </w:pPr>
      <w:r>
        <w:t>Pneumokokkencolonisierung bei Kindern in Brasilien: Begrenzte Abdeckung durch PCV10</w:t>
      </w:r>
    </w:p>
    <w:p>
      <w:r>
        <w:rPr>
          <w:i/>
          <w:color w:val="666666"/>
          <w:sz w:val="18"/>
        </w:rPr>
        <w:t>Sousa IO et al.  ·  PLoS One  ·  09.09.2026  ·  PMID 42715187</w:t>
      </w:r>
    </w:p>
    <w:p>
      <w:r>
        <w:t>Querschnittstudie bei 400 Kindern (2–5 Jahre) in Salvador, Brasilien: Nasopharyngale Besiedlung mit Streptococcus pneumoniae und Serotypverteilung nach PCV10-GSK-Impfung im brasilianischen Routineprogramm.</w:t>
      </w:r>
    </w:p>
    <w:p>
      <w:r>
        <w:rPr>
          <w:b/>
        </w:rPr>
        <w:t xml:space="preserve">Ergebnis: </w:t>
      </w:r>
      <w:r>
        <w:t>Gesamtbesiedlungsrate: 39,5 %. Häufigste Serotypen: 6C (17,9 %), 19A (13,0 %), 11A (9,3 %). PCV10-GSK deckt nur 3,2 % der Serotypen ab; PCV20 würde 39,5 % abdecken. Penicillinresistenz in 21,8 % der Isolate, am höchsten bei 19A (71,4 %). Befund zeigt Impflücke bei nicht-PCV10-Serotypen trotz Impfung.</w:t>
      </w:r>
    </w:p>
    <w:p>
      <w:r>
        <w:rPr>
          <w:b/>
          <w:sz w:val="19"/>
        </w:rPr>
        <w:t xml:space="preserve">Übertragbarkeit: </w:t>
      </w:r>
      <w:r>
        <w:rPr>
          <w:sz w:val="19"/>
        </w:rPr>
        <w:t>Brasilien – Befund zur Serotyp-Abdeckung und Resistenzentwicklung unter Feldimpfung ist grundlegend übertragbar</w:t>
      </w:r>
    </w:p>
    <w:p>
      <w:r>
        <w:rPr>
          <w:color w:val="5A7D3A"/>
          <w:sz w:val="18"/>
        </w:rPr>
        <w:t>https://pubmed.ncbi.nlm.nih.gov/42715187/</w:t>
      </w:r>
    </w:p>
    <w:p>
      <w:pPr>
        <w:pStyle w:val="Heading2"/>
      </w:pPr>
      <w:r>
        <w:t>Pneumococcale Impfung (PCV21) verhindert invasive Erkrankungen bei Erwachsenen in Spanien</w:t>
      </w:r>
    </w:p>
    <w:p>
      <w:r>
        <w:rPr>
          <w:i/>
          <w:color w:val="666666"/>
          <w:sz w:val="18"/>
        </w:rPr>
        <w:t>Simuzingili M et al.  ·  Vaccine  ·  03.10.2026  ·  PMID 42669238</w:t>
      </w:r>
    </w:p>
    <w:p>
      <w:r>
        <w:t>Gesundheitsökonomische Modellstudie in Spanien: Der 21-valente pneumokokkale Konjugatimpfstoff (PCV21) wurde mit PCV20 verglichen hinsichtlich verhinderte IPD-Fälle und vermiedene Kosten.</w:t>
      </w:r>
    </w:p>
    <w:p>
      <w:r>
        <w:rPr>
          <w:b/>
        </w:rPr>
        <w:t xml:space="preserve">Ergebnis: </w:t>
      </w:r>
      <w:r>
        <w:t>Bei 45–64-jährigen: PCV21 verhindert 178 IPD-Fälle mehr und 20 Todesfälle mehr als PCV20; spart 0,7 Mio. EUR (10% Mehrersparnis). Bei ≥65-Jährigen: 2019 IPD-Fälle und 435 Todesfälle mehr verhindert; spart 257 Mio. EUR (25% Mehrersparnis). Beide Altersgruppen: PCV21 war in allen Szenarien kostenwirksam.</w:t>
      </w:r>
    </w:p>
    <w:p>
      <w:r>
        <w:rPr>
          <w:b/>
          <w:sz w:val="19"/>
        </w:rPr>
        <w:t xml:space="preserve">Übertragbarkeit: </w:t>
      </w:r>
      <w:r>
        <w:rPr>
          <w:sz w:val="19"/>
        </w:rPr>
        <w:t>Spanien, vergleichbares Versicherungssystem und Epidemiologie wie Deutschland</w:t>
      </w:r>
    </w:p>
    <w:p>
      <w:r>
        <w:rPr>
          <w:color w:val="5A7D3A"/>
          <w:sz w:val="18"/>
        </w:rPr>
        <w:t>https://pubmed.ncbi.nlm.nih.gov/42669238/</w:t>
      </w:r>
    </w:p>
    <w:p>
      <w:pPr>
        <w:pStyle w:val="Heading2"/>
      </w:pPr>
      <w:r>
        <w:t>RSV-Impfung für Neugeborene in Japan: Saisonale vs. ganzjährige Strategie</w:t>
      </w:r>
    </w:p>
    <w:p>
      <w:r>
        <w:rPr>
          <w:i/>
          <w:color w:val="666666"/>
          <w:sz w:val="18"/>
        </w:rPr>
        <w:t>Monoi A et al.  ·  Vaccine  ·  03.10.2026  ·  PMID 42648051</w:t>
      </w:r>
    </w:p>
    <w:p>
      <w:r>
        <w:t>Modellstudie: Vergleich saisonaler und ganzjähriger RSV-Immunisierung von Neugeborenen zur Prävention von Krankenhausaufenthalten.</w:t>
      </w:r>
    </w:p>
    <w:p>
      <w:r>
        <w:rPr>
          <w:b/>
        </w:rPr>
        <w:t xml:space="preserve">Ergebnis: </w:t>
      </w:r>
      <w:r>
        <w:t>Ganzjährige RSVpreF-Impfung: 46 % Reduktion der RSV-Hospitalisierungen (95% UR: 31–65%). Ganzjährig Nirsevimab: 58 % Reduktion (95% UR: 39–79%). Saisonale Programme: bei zeitgerechter Durchführung 56–61 % Reduktion. Effekt stark abhängig von Saisonalitätsprädiktion und logistischen Kapazitäten.</w:t>
      </w:r>
    </w:p>
    <w:p>
      <w:r>
        <w:rPr>
          <w:b/>
          <w:sz w:val="19"/>
        </w:rPr>
        <w:t xml:space="preserve">Übertragbarkeit: </w:t>
      </w:r>
      <w:r>
        <w:rPr>
          <w:sz w:val="19"/>
        </w:rPr>
        <w:t>Japan, anderer Kontext – Befund zur Saisonalität und Impfstoffhaltbarkeit aber grundsätzlich übertragbar</w:t>
      </w:r>
    </w:p>
    <w:p>
      <w:r>
        <w:rPr>
          <w:color w:val="5A7D3A"/>
          <w:sz w:val="18"/>
        </w:rPr>
        <w:t>https://pubmed.ncbi.nlm.nih.gov/42648051/</w:t>
      </w:r>
    </w:p>
    <w:p>
      <w:pPr>
        <w:pStyle w:val="Heading2"/>
      </w:pPr>
      <w:r>
        <w:t>Pneumokokken-Impfung bei Erwachsenen mit Diabetes: Verzögerte Aufnahme in Versorgung</w:t>
      </w:r>
    </w:p>
    <w:p>
      <w:r>
        <w:rPr>
          <w:i/>
          <w:color w:val="666666"/>
          <w:sz w:val="18"/>
        </w:rPr>
        <w:t>Lenzi J et al.  ·  Vaccine  ·  03.10.2026  ·  PMID 42612465</w:t>
      </w:r>
    </w:p>
    <w:p>
      <w:r>
        <w:t>Populationsbasierte Kohortenstudie in Romagna (Italien) mit administrativen Daten: Zeitliche Muster und verpasste Impfgelegenheiten der Pneumokokken-Impfung bei Diabetikern über sieben Jahre.</w:t>
      </w:r>
    </w:p>
    <w:p>
      <w:r>
        <w:rPr>
          <w:b/>
        </w:rPr>
        <w:t xml:space="preserve">Ergebnis: </w:t>
      </w:r>
      <w:r>
        <w:t>Durchimpfungsquote stieg von 7,2 % (Jan. 2017) auf 28,0 % (Juni 2024), blieb aber deutlich unter 30 %. In der Inzidenzkohorte: 4,4 % Impfung nach 1 Jahr, 12,6 % nach 3 Jahren, 34,8 % nach 7 Jahren – kein markanter Anstieg unmittelbar nach Diagnose. Fremdländerisches Herkunftsland assoziiiert mit deutlich niedrigerer Aufnahme (OR: 0,52). Muster deutet auf mangelnde Integration in Diabetes-Versorgungspfade hin.</w:t>
      </w:r>
    </w:p>
    <w:p>
      <w:r>
        <w:rPr>
          <w:b/>
          <w:sz w:val="19"/>
        </w:rPr>
        <w:t xml:space="preserve">Übertragbarkeit: </w:t>
      </w:r>
      <w:r>
        <w:rPr>
          <w:sz w:val="19"/>
        </w:rPr>
        <w:t>Italien, ähnliches Versicherungssystem; Befund zu Versorgungsintegration auf Deutschland übertragbar</w:t>
      </w:r>
    </w:p>
    <w:p>
      <w:r>
        <w:rPr>
          <w:color w:val="5A7D3A"/>
          <w:sz w:val="18"/>
        </w:rPr>
        <w:t>https://pubmed.ncbi.nlm.nih.gov/42612465/</w:t>
      </w:r>
    </w:p>
    <w:p>
      <w:pPr>
        <w:pStyle w:val="Heading2"/>
      </w:pPr>
      <w:r>
        <w:t>Sicherheit der Lebendimpfstoff-Influenzaimpfung in England: Acht Jahre Pharmakovigilanz</w:t>
      </w:r>
    </w:p>
    <w:p>
      <w:r>
        <w:rPr>
          <w:i/>
          <w:color w:val="666666"/>
          <w:sz w:val="18"/>
        </w:rPr>
        <w:t>Dhanda S et al.  ·  Vaccine  ·  03.10.2026  ·  PMID 42607627</w:t>
      </w:r>
    </w:p>
    <w:p>
      <w:r>
        <w:t>Verbesserte passive Sicherheitsüberwachung (EPSS) des intranasalen Lebendimpfstoffs Fluenz® Tetra bei Kindern über acht Grippesaisons in England, mit Sicherheitsberichtskarten in 38–49 Praxen und 25–50 Schulen pro Saison.</w:t>
      </w:r>
    </w:p>
    <w:p>
      <w:r>
        <w:rPr>
          <w:b/>
        </w:rPr>
        <w:t xml:space="preserve">Ergebnis: </w:t>
      </w:r>
      <w:r>
        <w:t>8753–17.922 Sicherheitsberichtskarten ausgegeben jährlich. Rücklaufquoten: 2015/2016: 1,9 %, sinkend auf 2022/2023: 0,4 %. Rhinorrhö am häufigsten gemeldet (0,1–0,6 %). Schwerwiegende unerwünschte Ereignisse selten. Befund unterstützt positives Nutzen-Risiko-Profil über alle acht Saisons.</w:t>
      </w:r>
    </w:p>
    <w:p>
      <w:r>
        <w:rPr>
          <w:b/>
          <w:sz w:val="19"/>
        </w:rPr>
        <w:t xml:space="preserve">Übertragbarkeit: </w:t>
      </w:r>
      <w:r>
        <w:rPr>
          <w:sz w:val="19"/>
        </w:rPr>
        <w:t>Großbritannien, vergleichbare Versorgungsinfrastruktur und Pharmakovigilanz-Standards</w:t>
      </w:r>
    </w:p>
    <w:p>
      <w:r>
        <w:rPr>
          <w:color w:val="5A7D3A"/>
          <w:sz w:val="18"/>
        </w:rPr>
        <w:t>https://pubmed.ncbi.nlm.nih.gov/42607627/</w:t>
      </w:r>
    </w:p>
    <w:p>
      <w:pPr>
        <w:pStyle w:val="Heading1"/>
      </w:pPr>
      <w:r>
        <w:t>Aufgenommen am 12.09.2026</w:t>
      </w:r>
    </w:p>
    <w:p>
      <w:pPr>
        <w:pStyle w:val="Heading2"/>
      </w:pPr>
      <w:r>
        <w:t>COVID-19-Sterblichkeit nach Einkommen: Vorbefunde schlagen Impfung um Faktor 3–5</w:t>
      </w:r>
    </w:p>
    <w:p>
      <w:r>
        <w:rPr>
          <w:i/>
          <w:color w:val="666666"/>
          <w:sz w:val="18"/>
        </w:rPr>
        <w:t>Milkovska E et al.  ·  Int J Epidemiol  ·  18.08.2026  ·  PMID 42727089</w:t>
      </w:r>
    </w:p>
    <w:p>
      <w:r>
        <w:t>Analyse niederländischer Administrativdaten (n = 6.619.699) zur Frage, inwieweit unterschiedliche Vorerkrankungen und Impfquoten die Sterblichkeitsungleichheit nach Einkommen im Jahr 2021 erklären.</w:t>
      </w:r>
    </w:p>
    <w:p>
      <w:r>
        <w:rPr>
          <w:b/>
        </w:rPr>
        <w:t xml:space="preserve">Ergebnis: </w:t>
      </w:r>
      <w:r>
        <w:t>Ärmstes Einkommensfünftel starb 3-mal häufiger an COVID-19 als reichstes. Unterschiede in Vorerkrankungen erklärten 46–67 % der Ungleichheit, Unterschiede in Impfquoten nur 14–19 %. Soziale Determinanten der Gesundheit waren das Haupttreiber.</w:t>
      </w:r>
    </w:p>
    <w:p>
      <w:r>
        <w:rPr>
          <w:b/>
          <w:sz w:val="19"/>
        </w:rPr>
        <w:t xml:space="preserve">Übertragbarkeit: </w:t>
      </w:r>
      <w:r>
        <w:rPr>
          <w:sz w:val="19"/>
        </w:rPr>
        <w:t>Niederländische Administrativdaten mit vergleichbarem Versicherungssystem zu Deutschland</w:t>
      </w:r>
    </w:p>
    <w:p>
      <w:r>
        <w:rPr>
          <w:color w:val="5A7D3A"/>
          <w:sz w:val="18"/>
        </w:rPr>
        <w:t>https://pubmed.ncbi.nlm.nih.gov/42727089/</w:t>
      </w:r>
    </w:p>
    <w:p>
      <w:pPr>
        <w:pStyle w:val="Heading2"/>
      </w:pPr>
      <w:r>
        <w:t>Mütterliche RSV-Impfung reduziert Bronchiolitis-Krankenhauseinweisungen bei Säuglingen um 62 %</w:t>
      </w:r>
    </w:p>
    <w:p>
      <w:r>
        <w:rPr>
          <w:i/>
          <w:color w:val="666666"/>
          <w:sz w:val="18"/>
        </w:rPr>
        <w:t>Broad J et al.  ·  Euro Surveill  ·  Sept. 2026  ·  PMID 42725370</w:t>
      </w:r>
    </w:p>
    <w:p>
      <w:r>
        <w:t>Zeitreihenanalyse zu Auswirkungen der mütterlichen RSV-Impfung auf Hospitalisierungen von Säuglingen unter 3 Monaten in England von September 2024 bis März 2026.</w:t>
      </w:r>
    </w:p>
    <w:p>
      <w:r>
        <w:rPr>
          <w:b/>
        </w:rPr>
        <w:t xml:space="preserve">Ergebnis: </w:t>
      </w:r>
      <w:r>
        <w:t>RSV-Bronchiolitis-Krankenhauseinweisungen sanken um 62,6 % (IRR 0,374; 95%-KI: 0,344–0,407), Bronchiolitis insgesamt um 39,3 %. Bei Impfquote von 55,1 % reduzierten sich Aufnahmen auf Intensivstationen um 41,0 %. Ein bedeutender Schutzeffekt unter realen Versorgungsbedingungen.</w:t>
      </w:r>
    </w:p>
    <w:p>
      <w:r>
        <w:rPr>
          <w:b/>
          <w:sz w:val="19"/>
        </w:rPr>
        <w:t xml:space="preserve">Übertragbarkeit: </w:t>
      </w:r>
      <w:r>
        <w:rPr>
          <w:sz w:val="19"/>
        </w:rPr>
        <w:t>England mit Impfregister; Datenverfügbarkeit ähnlich wie in Skandinavien, nicht Deutschland</w:t>
      </w:r>
    </w:p>
    <w:p>
      <w:r>
        <w:rPr>
          <w:color w:val="5A7D3A"/>
          <w:sz w:val="18"/>
        </w:rPr>
        <w:t>https://pubmed.ncbi.nlm.nih.gov/42725370/</w:t>
      </w:r>
    </w:p>
    <w:p>
      <w:pPr>
        <w:pStyle w:val="Heading2"/>
      </w:pPr>
      <w:r>
        <w:t>Impfskepsis in Pakistan: Datenschutzmethoden zeigen Underreporting bei sensiblen Fragen</w:t>
      </w:r>
    </w:p>
    <w:p>
      <w:r>
        <w:rPr>
          <w:i/>
          <w:color w:val="666666"/>
          <w:sz w:val="18"/>
        </w:rPr>
        <w:t>Shahid MI et al.  ·  Front Public Health  ·  27.08.2026  ·  PMID 42723770</w:t>
      </w:r>
    </w:p>
    <w:p>
      <w:r>
        <w:t>Querschnittsstudie mit 1.200 Teilnehmern in Punjab, Pakistan (Juni–August 2021), die Underreporting von COVID-19-Fällen und Impfskepsis mit privacy-wahrenden randomisierten Antworttechniken misst.</w:t>
      </w:r>
    </w:p>
    <w:p>
      <w:r>
        <w:rPr>
          <w:b/>
        </w:rPr>
        <w:t xml:space="preserve">Ergebnis: </w:t>
      </w:r>
      <w:r>
        <w:t>Direkt berichtete COVID-19-Fälle (städtisch 10,5 %, ländlich 13,7 %) lagen unter datenschutzgeschützten Schätzungen (städtisch 15,3–17,4 %, ländlich 16,7–19,5 %). Impfskepsis-Underreporting kleiner (26,3 % vs. 27,2–27,4 %). PRE &gt;100, bessere Effizienz als Benchmark-Modelle. Privacy-Methoden reduzieren Verzerrung bei sensiblen Outcomes.</w:t>
      </w:r>
    </w:p>
    <w:p>
      <w:r>
        <w:rPr>
          <w:b/>
          <w:sz w:val="19"/>
        </w:rPr>
        <w:t xml:space="preserve">Übertragbarkeit: </w:t>
      </w:r>
      <w:r>
        <w:rPr>
          <w:sz w:val="19"/>
        </w:rPr>
        <w:t>Pakistan, Niedrig-Ressourcen-Setting; Methode zur Verbesserung der Surveillancequalität in Ländern mit schwacher Dokumentation</w:t>
      </w:r>
    </w:p>
    <w:p>
      <w:r>
        <w:rPr>
          <w:color w:val="5A7D3A"/>
          <w:sz w:val="18"/>
        </w:rPr>
        <w:t>https://pubmed.ncbi.nlm.nih.gov/42723770/</w:t>
      </w:r>
    </w:p>
    <w:p>
      <w:pPr>
        <w:pStyle w:val="Heading2"/>
      </w:pPr>
      <w:r>
        <w:t>PCV21-Pneumokokken-Impfung für Risikopatienten 18–64 Jahre in der Schweiz kosteneffektiv</w:t>
      </w:r>
    </w:p>
    <w:p>
      <w:r>
        <w:rPr>
          <w:i/>
          <w:color w:val="666666"/>
          <w:sz w:val="18"/>
        </w:rPr>
        <w:t>Simuzingili M et al.  ·  J Med Econ  ·  10.09.2026  ·  PMID 42723339</w:t>
      </w:r>
    </w:p>
    <w:p>
      <w:r>
        <w:t>Markov-Modell zur Kosten-Effektivität einer PCV21-Impfung für Hochrisiko- und Risiko-Patienten (18–64 Jahre) in der Schweiz mit lebenslanger Perspektive.</w:t>
      </w:r>
    </w:p>
    <w:p>
      <w:r>
        <w:rPr>
          <w:b/>
        </w:rPr>
        <w:t xml:space="preserve">Ergebnis: </w:t>
      </w:r>
      <w:r>
        <w:t>Bei 60-prozentiger Impfquote wurden 518 Fälle invasiver Pneumokokkenerkrankung, 224 Todesfälle und 2.578 ambulant behandelte Pneumonien verhindert. Impfkosten (CHF 39,0 Mio.) überwogen Einsparungen (CHF 21,4 Mio.) um Netto-CHF 17,6 Mio. ICER: CHF 7.665/QALY (kosteneffektiv ab CHF 18.000/QALY-Schwelle). In Sensitivitätsanalyse 100 % Wahrscheinlichkeit Kosteneffektivität.</w:t>
      </w:r>
    </w:p>
    <w:p>
      <w:r>
        <w:rPr>
          <w:b/>
          <w:sz w:val="19"/>
        </w:rPr>
        <w:t xml:space="preserve">Übertragbarkeit: </w:t>
      </w:r>
      <w:r>
        <w:rPr>
          <w:sz w:val="19"/>
        </w:rPr>
        <w:t>Schweizer Gesundheitssystem; Kosten- und Nutzenstruktur ähnlich dem deutschen</w:t>
      </w:r>
    </w:p>
    <w:p>
      <w:r>
        <w:rPr>
          <w:color w:val="5A7D3A"/>
          <w:sz w:val="18"/>
        </w:rPr>
        <w:t>https://pubmed.ncbi.nlm.nih.gov/42723339/</w:t>
      </w:r>
    </w:p>
    <w:p>
      <w:pPr>
        <w:pStyle w:val="Heading2"/>
      </w:pPr>
      <w:r>
        <w:t>RSVpreF-Impfung in Frankreich: Empfohlene Strategie verhindert 7.620 Hospitalisierungen, kostengünstig</w:t>
      </w:r>
    </w:p>
    <w:p>
      <w:r>
        <w:rPr>
          <w:i/>
          <w:color w:val="666666"/>
          <w:sz w:val="18"/>
        </w:rPr>
        <w:t>Fahfouhi Y et al.  ·  Vaccine  ·  03.10.2026  ·  PMID 42628195</w:t>
      </w:r>
    </w:p>
    <w:p>
      <w:r>
        <w:t>Markov-Modell zur Gesundheits- und Kostenfolgen von vier nationalen RSVpreF-Impfstrategien für schwangere Frauen in Frankreich unter Verwendung von Daten zu 627.499 Geburten pro Jahr.</w:t>
      </w:r>
    </w:p>
    <w:p>
      <w:r>
        <w:rPr>
          <w:b/>
        </w:rPr>
        <w:t xml:space="preserve">Ergebnis: </w:t>
      </w:r>
      <w:r>
        <w:t>Ohne Impfung: 38.625 RSV-Hospitalisierungen pro Jahr (Kosten €120,0 Mio.). Empfohlene Strategie (Sept.–Jan.) verhinderte 7.620 Hospitalisierungen (−19,7 %), Kosten €126,4 Mio., €844/Hospitalisierung verhindert, NNV 21. Erweiterte Strategie (Mai–Jan.) zusätzlich 4.111 Fälle vermieden (−13,3 % zusätzlich), erhöhte Gesamtkosten auf €134,4 Mio. (+6,3 %).</w:t>
      </w:r>
    </w:p>
    <w:p>
      <w:r>
        <w:rPr>
          <w:b/>
          <w:sz w:val="19"/>
        </w:rPr>
        <w:t xml:space="preserve">Übertragbarkeit: </w:t>
      </w:r>
      <w:r>
        <w:rPr>
          <w:sz w:val="19"/>
        </w:rPr>
        <w:t>Frankreich, europäisches Versicherungssystem; Nationale Impfkalender und Gesundheitsvergütung vergleichbar</w:t>
      </w:r>
    </w:p>
    <w:p>
      <w:r>
        <w:rPr>
          <w:color w:val="5A7D3A"/>
          <w:sz w:val="18"/>
        </w:rPr>
        <w:t>https://pubmed.ncbi.nlm.nih.gov/42628195/</w:t>
      </w:r>
    </w:p>
    <w:p>
      <w:pPr>
        <w:pStyle w:val="Heading2"/>
      </w:pPr>
      <w:r>
        <w:t>HPV-Impfquote in Europa: 55–60 % im Jahr 5, Schulprogramme und Arztdichte entscheidend</w:t>
      </w:r>
    </w:p>
    <w:p>
      <w:r>
        <w:rPr>
          <w:i/>
          <w:color w:val="666666"/>
          <w:sz w:val="18"/>
        </w:rPr>
        <w:t>Pavia G et al.  ·  Vaccine  ·  03.10.2026  ·  PMID 42623713</w:t>
      </w:r>
    </w:p>
    <w:p>
      <w:r>
        <w:t>Längsschnittstudie über Impfquoten bei 15-jährigen Mädchen in 43 europäischen Ländern 2010–2023, mit Analyse von Prädiktoren und Assoziation mit Google-Suchvolumen.</w:t>
      </w:r>
    </w:p>
    <w:p>
      <w:r>
        <w:rPr>
          <w:b/>
        </w:rPr>
        <w:t xml:space="preserve">Ergebnis: </w:t>
      </w:r>
      <w:r>
        <w:t>Impfquote stieg nach Aufnahme ins nationale Programm auf ~40 % im Jahr 2 , stabilisierte sich bei 55–60 % im Jahr 5. Über 60 % in den meisten Ländern erreicht. Schulprogramme boten schnellere Kurven. Ärztedichte und niedrige öffentliche Skepsis waren signifikante Prädiktoren. WHO-Ziel von 90 % verfehlt.</w:t>
      </w:r>
    </w:p>
    <w:p>
      <w:r>
        <w:rPr>
          <w:b/>
          <w:sz w:val="19"/>
        </w:rPr>
        <w:t xml:space="preserve">Übertragbarkeit: </w:t>
      </w:r>
      <w:r>
        <w:rPr>
          <w:sz w:val="19"/>
        </w:rPr>
        <w:t>Europäische Länder, vergleichbare Systeme; Datenqualität variiert stark (kein deutsches Impfregister)</w:t>
      </w:r>
    </w:p>
    <w:p>
      <w:r>
        <w:rPr>
          <w:color w:val="5A7D3A"/>
          <w:sz w:val="18"/>
        </w:rPr>
        <w:t>https://pubmed.ncbi.nlm.nih.gov/42623713/</w:t>
      </w:r>
    </w:p>
    <w:p>
      <w:pPr>
        <w:pStyle w:val="Heading2"/>
      </w:pPr>
      <w:r>
        <w:t>Diphtherie in der Schweiz 1877–2022: Impfprogramme brachen Epidemie-Wellen</w:t>
      </w:r>
    </w:p>
    <w:p>
      <w:r>
        <w:rPr>
          <w:i/>
          <w:color w:val="666666"/>
          <w:sz w:val="18"/>
        </w:rPr>
        <w:t>Tuor SM et al.  ·  Vaccine  ·  03.10.2026  ·  PMID 42623711</w:t>
      </w:r>
    </w:p>
    <w:p>
      <w:r>
        <w:t>Historische Zeitreihenanalyse der Diphtherie-Morbidität und -Mortalität in der Schweiz über 145 Jahre, mit Bayesianischen Modellen zur Quantifizierung des Impfeffekts ab 1933.</w:t>
      </w:r>
    </w:p>
    <w:p>
      <w:r>
        <w:rPr>
          <w:b/>
        </w:rPr>
        <w:t xml:space="preserve">Ergebnis: </w:t>
      </w:r>
      <w:r>
        <w:t>Von 35.271 Diphtherietodesfällen (1877–2022) starben 99,5 % vor flächendeckender Impfung. Nach Einführung zwingender Impfung in Genf (1933) lagen Inzidenz und Mortalität konsistent unter gemodellten Gegenszenarios. Nach landesweiter Empfehlung (1943) sank Diphtherie schnell in allen Kantonen, aber früher und stärker in Kantonen mit Impfpflicht.</w:t>
      </w:r>
    </w:p>
    <w:p>
      <w:r>
        <w:rPr>
          <w:b/>
          <w:sz w:val="19"/>
        </w:rPr>
        <w:t xml:space="preserve">Übertragbarkeit: </w:t>
      </w:r>
      <w:r>
        <w:rPr>
          <w:sz w:val="19"/>
        </w:rPr>
        <w:t>Schweizer Klinik- und Todesursachendaten; DACH-System mit Dokumentationspflicht vergleichbar</w:t>
      </w:r>
    </w:p>
    <w:p>
      <w:r>
        <w:rPr>
          <w:color w:val="5A7D3A"/>
          <w:sz w:val="18"/>
        </w:rPr>
        <w:t>https://pubmed.ncbi.nlm.nih.gov/42623711/</w:t>
      </w:r>
    </w:p>
    <w:p>
      <w:pPr>
        <w:pStyle w:val="Heading1"/>
      </w:pPr>
      <w:r>
        <w:t>Aufgenommen am 11.09.2026</w:t>
      </w:r>
    </w:p>
    <w:p>
      <w:pPr>
        <w:pStyle w:val="Heading2"/>
      </w:pPr>
      <w:r>
        <w:t>Hebammensicht auf Impfskepsis und Impfverweigerung: Faktoren und Strategien</w:t>
      </w:r>
    </w:p>
    <w:p>
      <w:r>
        <w:rPr>
          <w:i/>
          <w:color w:val="666666"/>
          <w:sz w:val="18"/>
        </w:rPr>
        <w:t>Çatalgöl Ş et al.  ·  Rev Esc Enferm USP  ·  07.09.2026  ·  PMID 42721439</w:t>
      </w:r>
    </w:p>
    <w:p>
      <w:r>
        <w:t>Deskriptive Querschnittsstudie mit 81 Hebammen in türkischen Familien-Gesundheitszentren zu Faktoren der Impfskepsis und empfohlenen Lösungsstrategien.</w:t>
      </w:r>
    </w:p>
    <w:p>
      <w:r>
        <w:rPr>
          <w:b/>
        </w:rPr>
        <w:t xml:space="preserve">Ergebnis: </w:t>
      </w:r>
      <w:r>
        <w:t>Meistgenannte Faktoren der Impfskepsis: Anti-Impf-Websites (90,1 %), Sorgen um Impfstoff-Inhaltsstoffe (70,4 %), Einfluss von Gemeinschaftsführern (66,7 %), religiöse Bedenken (65,4 %). Empfohlene Strategien: Fernsehen-Inhalte zur Impfung (70,4 %), öffentliche Ankündigungen (67,9 %), Informationen durch Gesundheitsarbeiter (58,0 %).</w:t>
      </w:r>
    </w:p>
    <w:p>
      <w:r>
        <w:rPr>
          <w:b/>
          <w:sz w:val="19"/>
        </w:rPr>
        <w:t xml:space="preserve">Übertragbarkeit: </w:t>
      </w:r>
      <w:r>
        <w:rPr>
          <w:sz w:val="19"/>
        </w:rPr>
        <w:t>Türkei, ähnliche Herausforderungen wie deutschsprachige Länder; Rolle von Hebammen in Versorgung relevant</w:t>
      </w:r>
    </w:p>
    <w:p>
      <w:r>
        <w:rPr>
          <w:color w:val="5A7D3A"/>
          <w:sz w:val="18"/>
        </w:rPr>
        <w:t>https://pubmed.ncbi.nlm.nih.gov/42721439/</w:t>
      </w:r>
    </w:p>
    <w:p>
      <w:pPr>
        <w:pStyle w:val="Heading2"/>
      </w:pPr>
      <w:r>
        <w:t>Phase-1-COVID-19-Vakzin-Studien: Flüssige Entscheidungsfindung unter wechselndem Pandemikontext</w:t>
      </w:r>
    </w:p>
    <w:p>
      <w:r>
        <w:rPr>
          <w:i/>
          <w:color w:val="666666"/>
          <w:sz w:val="18"/>
        </w:rPr>
        <w:t>Halperin DM et al.  ·  Hum Vaccin Immunother  ·  10.09.2026  ·  PMID 42721118</w:t>
      </w:r>
    </w:p>
    <w:p>
      <w:r>
        <w:t>Qualitative Studie zur Untersuchung von Faktoren, die Einschluss und Verbleib in Phase-1-COVID-19-Vakzin-Studien beeinflussen, mit semi-strukturierten Interviews bei Teilnehmern und Nicht-Teilnehmern.</w:t>
      </w:r>
    </w:p>
    <w:p>
      <w:r>
        <w:rPr>
          <w:b/>
        </w:rPr>
        <w:t xml:space="preserve">Ergebnis: </w:t>
      </w:r>
      <w:r>
        <w:t>Teilnahmeentscheidungen sind flüssig, nicht einmalig; Teilnehmer bewerteten Prioritäten kontinuierlich neu in Abhängigkeit von öffentlich zugelassenen Impfstoffen, Mandaten und COVID-19-Fallzahlen. Protokoll-Anpassung mit Erlaubnis zur PHAV-Gabe unterstützte Verbleib bis Studienende.</w:t>
      </w:r>
    </w:p>
    <w:p>
      <w:r>
        <w:rPr>
          <w:b/>
          <w:sz w:val="19"/>
        </w:rPr>
        <w:t xml:space="preserve">Übertragbarkeit: </w:t>
      </w:r>
      <w:r>
        <w:rPr>
          <w:sz w:val="19"/>
        </w:rPr>
        <w:t>Kanada, ähnliche Versorgungsstrukturen; qualitative Erkenntnisse auf Impfstoff-Vertrauen übertragbar</w:t>
      </w:r>
    </w:p>
    <w:p>
      <w:r>
        <w:rPr>
          <w:color w:val="5A7D3A"/>
          <w:sz w:val="18"/>
        </w:rPr>
        <w:t>https://pubmed.ncbi.nlm.nih.gov/42721118/</w:t>
      </w:r>
    </w:p>
    <w:p>
      <w:pPr>
        <w:pStyle w:val="Heading2"/>
      </w:pPr>
      <w:r>
        <w:t>Erweiterte HPV-Impfung in Polen: Gesundheitsgewinne und Kosteneffizienz</w:t>
      </w:r>
    </w:p>
    <w:p>
      <w:r>
        <w:rPr>
          <w:i/>
          <w:color w:val="666666"/>
          <w:sz w:val="18"/>
        </w:rPr>
        <w:t>Jaworski R et al.  ·  J Med Econ  ·  09.09.2026  ·  PMID 42717549</w:t>
      </w:r>
    </w:p>
    <w:p>
      <w:r>
        <w:t>Kosten-Nutzen-Analyse zur Erweiterung der HPV-Impfung auf Jungen und Mädchen im Alter 9–17 Jahren in Polen.</w:t>
      </w:r>
    </w:p>
    <w:p>
      <w:r>
        <w:rPr>
          <w:b/>
        </w:rPr>
        <w:t xml:space="preserve">Ergebnis: </w:t>
      </w:r>
      <w:r>
        <w:t>Erhöhung der Impfquoten von 20 % auf 60 % reduziert HPV-assoziierte Erkrankungen um 16 % und Todesfälle um 13 %; bei 90 % Abdeckung Reduktion um 33 % bzw. 27 %. Jeder investierte EUR 1,00 erbringt EUR 4,2 (Gesellschaft) bzw. EUR 2,2 (Fiskus) bei 60 % Abdeckung; EUR 4,6 bzw. EUR 2,4 bei 90 %.</w:t>
      </w:r>
    </w:p>
    <w:p>
      <w:r>
        <w:rPr>
          <w:b/>
          <w:sz w:val="19"/>
        </w:rPr>
        <w:t xml:space="preserve">Übertragbarkeit: </w:t>
      </w:r>
      <w:r>
        <w:rPr>
          <w:sz w:val="19"/>
        </w:rPr>
        <w:t>Polen, europäisches Sozialversicherungssystem, Impfkalender-Modellierung</w:t>
      </w:r>
    </w:p>
    <w:p>
      <w:r>
        <w:rPr>
          <w:color w:val="5A7D3A"/>
          <w:sz w:val="18"/>
        </w:rPr>
        <w:t>https://pubmed.ncbi.nlm.nih.gov/42717549/</w:t>
      </w:r>
    </w:p>
    <w:p>
      <w:pPr>
        <w:pStyle w:val="Heading2"/>
      </w:pPr>
      <w:r>
        <w:t>EV-A71-Impfung in Shanghai: 89,9 % Effektivität, Verschiebung zu Nicht-EV-A71-Serotypen</w:t>
      </w:r>
    </w:p>
    <w:p>
      <w:r>
        <w:rPr>
          <w:i/>
          <w:color w:val="666666"/>
          <w:sz w:val="18"/>
        </w:rPr>
        <w:t>Xu Z et al.  ·  Hum Vaccin Immunother  ·  09.09.2026  ·  PMID 42714139</w:t>
      </w:r>
    </w:p>
    <w:p>
      <w:r>
        <w:t>Test-Negative-Design-Studie zur Wirksamkeit der EV-A71-Impfung gegen Hand-Fuß-Mund-Krankheit in Shanghai 2009–2023, mit Vergleich prä- und post-Impfprogramm-Epidemiologie.</w:t>
      </w:r>
    </w:p>
    <w:p>
      <w:r>
        <w:rPr>
          <w:b/>
        </w:rPr>
        <w:t xml:space="preserve">Ergebnis: </w:t>
      </w:r>
      <w:r>
        <w:t>Gesamtwirksamkeit gegen EV-A71-assoziierte HFMD und Herpangina: 89,9 % (95%-KI: 74,5–96,0) für Zwei-Dosen-Serie, 67,9 % (95%-KI: 2,6–89,6) für Einzeldosis. Nach Impfprogramm-Einführung: Inzidenz-Reduktion 56,7 %, Schweregradreduktion 95,2 %, null Todesfälle (von 3 auf 0).</w:t>
      </w:r>
    </w:p>
    <w:p>
      <w:r>
        <w:rPr>
          <w:b/>
          <w:sz w:val="19"/>
        </w:rPr>
        <w:t xml:space="preserve">Übertragbarkeit: </w:t>
      </w:r>
      <w:r>
        <w:rPr>
          <w:sz w:val="19"/>
        </w:rPr>
        <w:t>China-Daten, aber Versorgungseffektivität in realer Welt gut dokumentiert; Serotyp-Shift hat globale Relevanz</w:t>
      </w:r>
    </w:p>
    <w:p>
      <w:r>
        <w:rPr>
          <w:color w:val="5A7D3A"/>
          <w:sz w:val="18"/>
        </w:rPr>
        <w:t>https://pubmed.ncbi.nlm.nih.gov/42714139/</w:t>
      </w:r>
    </w:p>
    <w:p>
      <w:pPr>
        <w:pStyle w:val="Heading2"/>
      </w:pPr>
      <w:r>
        <w:t>mRNA-Impfung verursacht reproduzierbare Transkript-Isoform-Verschiebungen</w:t>
      </w:r>
    </w:p>
    <w:p>
      <w:r>
        <w:rPr>
          <w:i/>
          <w:color w:val="666666"/>
          <w:sz w:val="18"/>
        </w:rPr>
        <w:t>Riemann L et al.  ·  Eur J Immunol  ·  Sept. 2026  ·  PMID 42670157</w:t>
      </w:r>
    </w:p>
    <w:p>
      <w:r>
        <w:t>Analyse longitudinaler RNA-Sequenzierungs-Daten zur Charakterisierung von Veränderungen in der Transkript-Isoform-Nutzung nach mRNA-Impfung.</w:t>
      </w:r>
    </w:p>
    <w:p>
      <w:r>
        <w:rPr>
          <w:b/>
        </w:rPr>
        <w:t xml:space="preserve">Ergebnis: </w:t>
      </w:r>
      <w:r>
        <w:t>mRNA-Impfung induziert schnelle und transiente Welle differentieller Transkript-Nutzung, die 24 h post-Impfung mit 131 veränderten Isoformen über 107 Gene gipfelt, vor Auflösung bis Tag 14. Muster reproduzierbar über mehrere Impfstoff-Kohorten (MVA-basiert, Influenza, Ebola).</w:t>
      </w:r>
    </w:p>
    <w:p>
      <w:r>
        <w:rPr>
          <w:b/>
          <w:sz w:val="19"/>
        </w:rPr>
        <w:t xml:space="preserve">Übertragbarkeit: </w:t>
      </w:r>
      <w:r>
        <w:rPr>
          <w:sz w:val="19"/>
        </w:rPr>
        <w:t>Grundlagenforschung ohne klinischen Endpunkt, nicht geeignet für Versorgungsanalyse</w:t>
      </w:r>
    </w:p>
    <w:p>
      <w:r>
        <w:rPr>
          <w:color w:val="5A7D3A"/>
          <w:sz w:val="18"/>
        </w:rPr>
        <w:t>https://pubmed.ncbi.nlm.nih.gov/42670157/</w:t>
      </w:r>
    </w:p>
    <w:p>
      <w:pPr>
        <w:pStyle w:val="Heading2"/>
      </w:pPr>
      <w:r>
        <w:t>Influenza- und Herpes-Zoster-Impfeffektivität bei Autoimmunerkrankungen: keine Unterschiede zu Gesunden</w:t>
      </w:r>
    </w:p>
    <w:p>
      <w:r>
        <w:rPr>
          <w:i/>
          <w:color w:val="666666"/>
          <w:sz w:val="18"/>
        </w:rPr>
        <w:t>Denz R et al.  ·  J Infect Public Health  ·  02.07.2026  ·  PMID 42398453</w:t>
      </w:r>
    </w:p>
    <w:p>
      <w:r>
        <w:t>Emulierte Zielstudien mit Anspruchsdaten einer großen deutschen Krankenkasse zur Vergleichbarkeit der Impfwirksamkeit zwischen Personen mit und ohne Autoimmunerkrankungen (MS, IBD, CIRD).</w:t>
      </w:r>
    </w:p>
    <w:p>
      <w:r>
        <w:rPr>
          <w:b/>
        </w:rPr>
        <w:t xml:space="preserve">Ergebnis: </w:t>
      </w:r>
      <w:r>
        <w:t>Herpes-Zoster-Wirksamkeit: 68,73 % (95%-KI: 55,75–77,91) bei AID, 60,30 % (55,59–64,52) ohne AID; Wirksamkeitsverhältnis 1,14 (0,93–1,30). Influenza-Wirksamkeit ohne relevante Unterschiede über vier Saisonen; alle Wirksamkeitsverhältnisse nahe 1.</w:t>
      </w:r>
    </w:p>
    <w:p>
      <w:r>
        <w:rPr>
          <w:b/>
          <w:sz w:val="19"/>
        </w:rPr>
        <w:t xml:space="preserve">Übertragbarkeit: </w:t>
      </w:r>
      <w:r>
        <w:rPr>
          <w:sz w:val="19"/>
        </w:rPr>
        <w:t>Deutsche Anspruchsdaten, vergleichbar mit Routine-Versorgung; MS, IBD, CIRD-Patienten relevant für Versorgung</w:t>
      </w:r>
    </w:p>
    <w:p>
      <w:r>
        <w:rPr>
          <w:color w:val="5A7D3A"/>
          <w:sz w:val="18"/>
        </w:rPr>
        <w:t>https://pubmed.ncbi.nlm.nih.gov/42398453/</w:t>
      </w:r>
    </w:p>
    <w:p>
      <w:pPr>
        <w:pStyle w:val="Heading1"/>
      </w:pPr>
      <w:r>
        <w:t>Aufgenommen am 10.09.2026</w:t>
      </w:r>
    </w:p>
    <w:p>
      <w:pPr>
        <w:pStyle w:val="Heading2"/>
      </w:pPr>
      <w:r>
        <w:t>RSV-Impfskepsis bei chinesischen Eltern: Informationssuche dominiert, nicht Vertrauen</w:t>
      </w:r>
    </w:p>
    <w:p>
      <w:r>
        <w:rPr>
          <w:i/>
          <w:color w:val="666666"/>
          <w:sz w:val="18"/>
        </w:rPr>
        <w:t>Zhu Y et al.  ·  Hum Vaccin Immunother  ·  31.12.2026  ·  PMID 42714313</w:t>
      </w:r>
    </w:p>
    <w:p>
      <w:r>
        <w:t>Querschnittstudie mit 4.422 Paaren (Schwangere und Partner) in acht chinesischen Provinzen zur Analyse psychologischer Vorstufen der Vaccine Hesitancy gegenüber RSV-Impfstoffen und RSV-Antikörpern.</w:t>
      </w:r>
    </w:p>
    <w:p>
      <w:r>
        <w:rPr>
          <w:b/>
        </w:rPr>
        <w:t xml:space="preserve">Ergebnis: </w:t>
      </w:r>
      <w:r>
        <w:t>Frauen zeigten marginal niedrigere 5C-Werte als Partner für mütterliche Impfung (45,88 vs. 46,25; Cohen's d = −0,06). Älteres Alter, ländlicher Wohnort und niedriges Einkommen waren unabhängig mit höherer Hesitancy assoziiert. 'Calculation' (aktive Informationssuche) scorte bei beiden Gruppen am höchsten.</w:t>
      </w:r>
    </w:p>
    <w:p>
      <w:r>
        <w:rPr>
          <w:b/>
          <w:sz w:val="19"/>
        </w:rPr>
        <w:t xml:space="preserve">Übertragbarkeit: </w:t>
      </w:r>
      <w:r>
        <w:rPr>
          <w:sz w:val="19"/>
        </w:rPr>
        <w:t>China-Studie; Psychologische Grundmuster der Vaccine Hesitancy international relevant.</w:t>
      </w:r>
    </w:p>
    <w:p>
      <w:r>
        <w:rPr>
          <w:color w:val="5A7D3A"/>
          <w:sz w:val="18"/>
        </w:rPr>
        <w:t>https://pubmed.ncbi.nlm.nih.gov/42714313/</w:t>
      </w:r>
    </w:p>
    <w:p>
      <w:pPr>
        <w:pStyle w:val="Heading2"/>
      </w:pPr>
      <w:r>
        <w:t>Gesundheitskommunikation gegen Impfskepsis bei Kinderimpfungen in Nigeria – Systematische Übersicht</w:t>
      </w:r>
    </w:p>
    <w:p>
      <w:r>
        <w:rPr>
          <w:i/>
          <w:color w:val="666666"/>
          <w:sz w:val="18"/>
        </w:rPr>
        <w:t>Ike TJ et al.  ·  Front Public Health  ·  25.08.2026  ·  PMID 42713528</w:t>
      </w:r>
    </w:p>
    <w:p>
      <w:r>
        <w:t>Systematische Übersicht mit thematischer Synthese von 12 Studien (2017–2026) zu Kommunikationsstrategien gegen elterliche Vaccine Hesitancy bei Kinderimpfungen in Nigeria.</w:t>
      </w:r>
    </w:p>
    <w:p>
      <w:r>
        <w:rPr>
          <w:b/>
        </w:rPr>
        <w:t xml:space="preserve">Ergebnis: </w:t>
      </w:r>
      <w:r>
        <w:t>Vier Strategietypen identifiziert: Medienkampagnen, staatlich gesponserte Kommunikation, Gemeinde-zentrierte Ansätze und telefonische Interventionen. Kulturelle Anpassung, Einbindung vertrauter Führungspersonen (religiöse/traditionelle Leader), Multi-Kanal-Ansatz und Responsivität auf strukturelle Barrieren und Informationsbedarf waren erfolgskritisch.</w:t>
      </w:r>
    </w:p>
    <w:p>
      <w:r>
        <w:rPr>
          <w:b/>
          <w:sz w:val="19"/>
        </w:rPr>
        <w:t xml:space="preserve">Übertragbarkeit: </w:t>
      </w:r>
      <w:r>
        <w:rPr>
          <w:sz w:val="19"/>
        </w:rPr>
        <w:t>Nigeria, niedriges Einkommen; Kommunikationsprinzipien zu Vaccine Hesitancy aber universal relevant.</w:t>
      </w:r>
    </w:p>
    <w:p>
      <w:r>
        <w:rPr>
          <w:color w:val="5A7D3A"/>
          <w:sz w:val="18"/>
        </w:rPr>
        <w:t>https://pubmed.ncbi.nlm.nih.gov/42713528/</w:t>
      </w:r>
    </w:p>
    <w:p>
      <w:pPr>
        <w:pStyle w:val="Heading2"/>
      </w:pPr>
      <w:r>
        <w:t>HPV-Impfquote 70% in Shenzhen: Psychologische Modelle verlieren Erklärungskraft, Kosten bleiben Barriere</w:t>
      </w:r>
    </w:p>
    <w:p>
      <w:r>
        <w:rPr>
          <w:i/>
          <w:color w:val="666666"/>
          <w:sz w:val="18"/>
        </w:rPr>
        <w:t>Liu Y et al.  ·  Front Public Health  ·  25.08.2026  ·  PMID 42712616</w:t>
      </w:r>
    </w:p>
    <w:p>
      <w:r>
        <w:t>Querschnittstudie mit 1.257 Frauen in Shenzhen zur Diskriminanzvalidität von Health Belief Model und 3C-Modell bei Restimpfverweigerung nach bereits 70% HPV-Impfquote.</w:t>
      </w:r>
    </w:p>
    <w:p>
      <w:r>
        <w:rPr>
          <w:b/>
        </w:rPr>
        <w:t xml:space="preserve">Ergebnis: </w:t>
      </w:r>
      <w:r>
        <w:t>Bei 70% Durchimpfung zeigten HBM und 3C-Skalen begrenzte Diskriminanzvalidität zwischen Geimpften und Ungeimpften (nur 2 von 10 Konstrukten signifikant, triviale Effektgrößen d=0,13). Hauptgründe für Nicht-Impfung: hohe Kosten (42,3%) und Sicherheitsbedenken (33,8%). Hukou moderierte wahrgenommene Barrieren suggestiv (nicht signifikant).</w:t>
      </w:r>
    </w:p>
    <w:p>
      <w:r>
        <w:rPr>
          <w:b/>
          <w:sz w:val="19"/>
        </w:rPr>
        <w:t xml:space="preserve">Übertragbarkeit: </w:t>
      </w:r>
      <w:r>
        <w:rPr>
          <w:sz w:val="19"/>
        </w:rPr>
        <w:t>China, hochquoten-Setting; zeigt, dass psychologische Standardmodelle bei Hochquoten an Grenzen stoßen.</w:t>
      </w:r>
    </w:p>
    <w:p>
      <w:r>
        <w:rPr>
          <w:color w:val="5A7D3A"/>
          <w:sz w:val="18"/>
        </w:rPr>
        <w:t>https://pubmed.ncbi.nlm.nih.gov/42712616/</w:t>
      </w:r>
    </w:p>
    <w:p>
      <w:pPr>
        <w:pStyle w:val="Heading2"/>
      </w:pPr>
      <w:r>
        <w:t>EV-A71-Impfung reduzierte Hand-Fuß-Mund-Krankheit um 57% in Shanghai – Shift zu anderen Serotypen beobachtet</w:t>
      </w:r>
    </w:p>
    <w:p>
      <w:r>
        <w:rPr>
          <w:i/>
          <w:color w:val="666666"/>
          <w:sz w:val="18"/>
        </w:rPr>
        <w:t>Deng L et al.  ·  Front Public Health  ·  12.08.2026  ·  PMID 42656515</w:t>
      </w:r>
    </w:p>
    <w:p>
      <w:r>
        <w:t>Analyse epidemiologischer Veränderungen der Hand-Fuß-Mund-Krankheit (HFMD) über 15 Jahre in Minhang-Bezirk Shanghai mit Schätzung der Impfeffektivität nach Test-Negative-Design.</w:t>
      </w:r>
    </w:p>
    <w:p>
      <w:r>
        <w:rPr>
          <w:b/>
        </w:rPr>
        <w:t xml:space="preserve">Ergebnis: </w:t>
      </w:r>
      <w:r>
        <w:t>Nach Einführung der EV-A71-Impfung (2016) sanken Inzidenz um 56,7%, Schweregrad um 95,2%, Sterblichkeit um 100%. Gesamtimpfeffektivität gegen EV-A71-assoziierte HFMD: 89,9% (95%-KI 74,5–96,0) für Zwei-Dosen-Serie; Durchimpfungsquote 50%. Keine Kreuzprotektion gegen andere Serotypen.</w:t>
      </w:r>
    </w:p>
    <w:p>
      <w:r>
        <w:rPr>
          <w:b/>
          <w:sz w:val="19"/>
        </w:rPr>
        <w:t xml:space="preserve">Übertragbarkeit: </w:t>
      </w:r>
      <w:r>
        <w:rPr>
          <w:sz w:val="19"/>
        </w:rPr>
        <w:t>China-Studie, System unterscheidet sich; Effektivitätsmessung an Bevölkerungsdaten aber global vergleichbar.</w:t>
      </w:r>
    </w:p>
    <w:p>
      <w:r>
        <w:rPr>
          <w:color w:val="5A7D3A"/>
          <w:sz w:val="18"/>
        </w:rPr>
        <w:t>https://pubmed.ncbi.nlm.nih.gov/42656515/</w:t>
      </w:r>
    </w:p>
    <w:p>
      <w:pPr>
        <w:pStyle w:val="Heading2"/>
      </w:pPr>
      <w:r>
        <w:t>COVID-19-Impfung in Irland: Barrieren und Förderfaktoren im Implementierungsprozess</w:t>
      </w:r>
    </w:p>
    <w:p>
      <w:r>
        <w:rPr>
          <w:i/>
          <w:color w:val="666666"/>
          <w:sz w:val="18"/>
        </w:rPr>
        <w:t>Kandulu CC et al.  ·  Vaccine  ·  30.08.2026  ·  PMID 42407300</w:t>
      </w:r>
    </w:p>
    <w:p>
      <w:r>
        <w:t>Qualitative Studie mit 16 Stakeholdern zur Identifikation von Faktoren, die die Umsetzung des COVID-19-Impfprogramms in Irland auf nationaler, regionaler und lokaler Ebene beeinflussten.</w:t>
      </w:r>
    </w:p>
    <w:p>
      <w:r>
        <w:rPr>
          <w:b/>
        </w:rPr>
        <w:t xml:space="preserve">Ergebnis: </w:t>
      </w:r>
      <w:r>
        <w:t>Verzögerte oder sich ändernde Evidenz, Komplexität der Impfstoffe und Anpassung der Bereitstellungskonzepte (Skalierung auf Massenimpfzentren) waren kritische Faktoren. Ressourcenverfügbarkeit, organisatorische Infrastruktur, Policy-Rahmen, Kommunikation und Fachkompetenz waren entscheidend für die Umsetzung.</w:t>
      </w:r>
    </w:p>
    <w:p>
      <w:r>
        <w:rPr>
          <w:b/>
          <w:sz w:val="19"/>
        </w:rPr>
        <w:t xml:space="preserve">Übertragbarkeit: </w:t>
      </w:r>
      <w:r>
        <w:rPr>
          <w:sz w:val="19"/>
        </w:rPr>
        <w:t>Irland, vergleichbares europäisches Gesundheitssystem mit dezentraler Struktur.</w:t>
      </w:r>
    </w:p>
    <w:p>
      <w:r>
        <w:rPr>
          <w:color w:val="5A7D3A"/>
          <w:sz w:val="18"/>
        </w:rPr>
        <w:t>https://pubmed.ncbi.nlm.nih.gov/42407300/</w:t>
      </w:r>
    </w:p>
    <w:p>
      <w:pPr>
        <w:pStyle w:val="Heading2"/>
      </w:pPr>
      <w:r>
        <w:t>SARS-CoV-2-Auffrischimpfungen schützen Menschen mit Autoimmunerkrankungen vor schwerer COVID-19</w:t>
      </w:r>
    </w:p>
    <w:p>
      <w:r>
        <w:rPr>
          <w:i/>
          <w:color w:val="666666"/>
          <w:sz w:val="18"/>
        </w:rPr>
        <w:t>Kukreja NS et al.  ·  RMD Open  ·  03.07.2026  ·  PMID 42399080</w:t>
      </w:r>
    </w:p>
    <w:p>
      <w:r>
        <w:t>Nested Case-Control-Studie mit englischen Primärversorgungs- und Krankenhausdaten zu Schutzwirkung von COVID-19-Auffrischimpfungen bei erwachsenen Patienten mit immunmediierter Entzündungserkrankung (IMID).</w:t>
      </w:r>
    </w:p>
    <w:p>
      <w:r>
        <w:rPr>
          <w:b/>
        </w:rPr>
        <w:t xml:space="preserve">Ergebnis: </w:t>
      </w:r>
      <w:r>
        <w:t>Drei Auffrischimpfungen reduzierten Hospitalisierung/Tod um 80% (aOR 0,20; 95%-KI 0,15–0,28), zwei Dosen um 71% (aOR 0,29; 95%-KI 0,23–0,36), eine Dosis um 44% (aOR 0,56; 95%-KI 0,48–0,65). Schutz bestand innerhalb 365 Tage nach Impfung; Impfungen &gt;365 Tage alt zeigten keinen signifikanten Schutz.</w:t>
      </w:r>
    </w:p>
    <w:p>
      <w:r>
        <w:rPr>
          <w:b/>
          <w:sz w:val="19"/>
        </w:rPr>
        <w:t xml:space="preserve">Übertragbarkeit: </w:t>
      </w:r>
      <w:r>
        <w:rPr>
          <w:sz w:val="19"/>
        </w:rPr>
        <w:t>Englische primärärztliche Flächendaten mit Impfquoten und Krankenhausdokumentation, auf deutsches System übertragbar.</w:t>
      </w:r>
    </w:p>
    <w:p>
      <w:r>
        <w:rPr>
          <w:color w:val="5A7D3A"/>
          <w:sz w:val="18"/>
        </w:rPr>
        <w:t>https://pubmed.ncbi.nlm.nih.gov/42399080/</w:t>
      </w:r>
    </w:p>
    <w:p>
      <w:pPr>
        <w:pStyle w:val="Heading1"/>
      </w:pPr>
      <w:r>
        <w:t>Aufgenommen am 09.09.2026</w:t>
      </w:r>
    </w:p>
    <w:p>
      <w:pPr>
        <w:pStyle w:val="Heading2"/>
      </w:pPr>
      <w:r>
        <w:t>Eltern akzeptieren Meningokokken-B-Impfung für Säuglinge unter fachlicher Empfehlung</w:t>
      </w:r>
    </w:p>
    <w:p>
      <w:r>
        <w:rPr>
          <w:i/>
          <w:color w:val="666666"/>
          <w:sz w:val="18"/>
        </w:rPr>
        <w:t>Herrera-Restrepo O et al.  ·  Hum Vaccin Immunother  ·  08.09.2026  ·  PMID 42709765</w:t>
      </w:r>
    </w:p>
    <w:p>
      <w:r>
        <w:t>US-Online-Befragung von 1.051 Eltern mit Kindern ≤18 Monaten zu Impfbereitschaft gegen Meningokokken B.</w:t>
      </w:r>
    </w:p>
    <w:p>
      <w:r>
        <w:rPr>
          <w:b/>
        </w:rPr>
        <w:t xml:space="preserve">Ergebnis: </w:t>
      </w:r>
      <w:r>
        <w:t>73,4% Kinder vollständig geimpft. Von 266 mit unvollständiger Impfung: 59,8% besorgt um Nebenwirkungen. Ohne Fachempfehlung: 66,3% würden MenB-Impfung akzeptieren, mit Krankheitsinformation: 72,1%. Fachperson-Kommunikation war Schlüsselfaktor.</w:t>
      </w:r>
    </w:p>
    <w:p>
      <w:r>
        <w:rPr>
          <w:b/>
          <w:sz w:val="19"/>
        </w:rPr>
        <w:t xml:space="preserve">Übertragbarkeit: </w:t>
      </w:r>
      <w:r>
        <w:rPr>
          <w:sz w:val="19"/>
        </w:rPr>
        <w:t>USA-System, aber Bedeutung der Fachperson-Kommunikation universal anwendbar, nicht auf Registerdaten übertragbar.</w:t>
      </w:r>
    </w:p>
    <w:p>
      <w:r>
        <w:rPr>
          <w:color w:val="5A7D3A"/>
          <w:sz w:val="18"/>
        </w:rPr>
        <w:t>https://pubmed.ncbi.nlm.nih.gov/42709765/</w:t>
      </w:r>
    </w:p>
    <w:p>
      <w:pPr>
        <w:pStyle w:val="Heading2"/>
      </w:pPr>
      <w:r>
        <w:t>Pneumokokken-Impfung ab 50 Jahren hätte 520.000 Erkrankungsfälle verhindern können</w:t>
      </w:r>
    </w:p>
    <w:p>
      <w:r>
        <w:rPr>
          <w:i/>
          <w:color w:val="666666"/>
          <w:sz w:val="18"/>
        </w:rPr>
        <w:t>Sharomi O et al.  ·  Hum Vaccin Immunother  ·  08.09.2026  ·  PMID 42708971</w:t>
      </w:r>
    </w:p>
    <w:p>
      <w:r>
        <w:t>Modellrechnung zu epidemiologischen Effekten einer Senkung der Impfaltersgrenze für Erwachsene von 60 auf 50 Jahre in Deutschland mit V116 oder PCV20.</w:t>
      </w:r>
    </w:p>
    <w:p>
      <w:r>
        <w:rPr>
          <w:b/>
        </w:rPr>
        <w:t xml:space="preserve">Ergebnis: </w:t>
      </w:r>
      <w:r>
        <w:t>Bei Impfquote von 30%: V116 ab 50 Jahren führte zu 520.128 weniger Pneumokokkus-Erkrankungsfällen, PCV20 zu 325.694 weniger. IPD-Inzidenz im Jahr 10 mit V116 ab 50 Jahren: 20,5 pro 100.000 (vs. 22,1 ab 60 Jahren).</w:t>
      </w:r>
    </w:p>
    <w:p>
      <w:r>
        <w:rPr>
          <w:b/>
          <w:sz w:val="19"/>
        </w:rPr>
        <w:t xml:space="preserve">Übertragbarkeit: </w:t>
      </w:r>
      <w:r>
        <w:rPr>
          <w:sz w:val="19"/>
        </w:rPr>
        <w:t>Deutschland, Modellierung mit deutschen Serotyphaten und Epidemiologie, aber keine empirische Versorgungsdatenbasis.</w:t>
      </w:r>
    </w:p>
    <w:p>
      <w:r>
        <w:rPr>
          <w:color w:val="5A7D3A"/>
          <w:sz w:val="18"/>
        </w:rPr>
        <w:t>https://pubmed.ncbi.nlm.nih.gov/42708971/</w:t>
      </w:r>
    </w:p>
    <w:p>
      <w:pPr>
        <w:pStyle w:val="Heading2"/>
      </w:pPr>
      <w:r>
        <w:t>Mütter wählen Impfungen nach Sicherheit – Information und Vertrauen entscheidend</w:t>
      </w:r>
    </w:p>
    <w:p>
      <w:r>
        <w:rPr>
          <w:i/>
          <w:color w:val="666666"/>
          <w:sz w:val="18"/>
        </w:rPr>
        <w:t>Xing R et al.  ·  Front Public Health  ·  24.08.2026  ·  PMID 42707176</w:t>
      </w:r>
    </w:p>
    <w:p>
      <w:r>
        <w:t>Qualitative Studie mit 16 Müttern in China zu Entscheidungsfaktoren bei selbstgezahlten Kinderimpfungen.</w:t>
      </w:r>
    </w:p>
    <w:p>
      <w:r>
        <w:rPr>
          <w:b/>
        </w:rPr>
        <w:t xml:space="preserve">Ergebnis: </w:t>
      </w:r>
      <w:r>
        <w:t>Sicherheit war Voraussetzung vor Nutzenabwägung. Mütter navigierten asymmetrische Informationen, balancierten Vertrauen in Fachpersonen mit unabhängiger Verifikation. Kosten wirkten als Filter oder Priorisierungsmechanismus. Kommunikationsqualität mit Anbieter:innen prägte Vertrauensaufbau; unzureichende Beratung erhöhte Unsicherheit.</w:t>
      </w:r>
    </w:p>
    <w:p>
      <w:r>
        <w:rPr>
          <w:b/>
          <w:sz w:val="19"/>
        </w:rPr>
        <w:t xml:space="preserve">Übertragbarkeit: </w:t>
      </w:r>
      <w:r>
        <w:rPr>
          <w:sz w:val="19"/>
        </w:rPr>
        <w:t>China, aber Entscheidungsprozesse universal; Qualitätskriterien für Beratung auf deutsches System übertragbar.</w:t>
      </w:r>
    </w:p>
    <w:p>
      <w:r>
        <w:rPr>
          <w:color w:val="5A7D3A"/>
          <w:sz w:val="18"/>
        </w:rPr>
        <w:t>https://pubmed.ncbi.nlm.nih.gov/42707176/</w:t>
      </w:r>
    </w:p>
    <w:p>
      <w:pPr>
        <w:pStyle w:val="Heading2"/>
      </w:pPr>
      <w:r>
        <w:t>Impfkampagne in Onkologie erhöht Impfquoten deutlich</w:t>
      </w:r>
    </w:p>
    <w:p>
      <w:r>
        <w:rPr>
          <w:i/>
          <w:color w:val="666666"/>
          <w:sz w:val="18"/>
        </w:rPr>
        <w:t>Markus T et al.  ·  BMC Public Health  ·  07.09.2026  ·  PMID 42706520</w:t>
      </w:r>
    </w:p>
    <w:p>
      <w:r>
        <w:t>Kölner Universitätsklinik testete eine Interventionsstudie mit Patientenaufklärung, Personalschulung und vor-Ort-Impfung über 1,5 Jahre.</w:t>
      </w:r>
    </w:p>
    <w:p>
      <w:r>
        <w:rPr>
          <w:b/>
        </w:rPr>
        <w:t xml:space="preserve">Ergebnis: </w:t>
      </w:r>
      <w:r>
        <w:t>Gesamtimpfquote stieg von 43% auf 49%, Influenza von 37% auf 48%, Pneumokokken von 16% auf 36%, Herpes zoster von 22% auf 33%. Anteil vollständig geimpfter Patienten: 6% auf 16%.</w:t>
      </w:r>
    </w:p>
    <w:p>
      <w:r>
        <w:rPr>
          <w:b/>
          <w:sz w:val="19"/>
        </w:rPr>
        <w:t xml:space="preserve">Übertragbarkeit: </w:t>
      </w:r>
      <w:r>
        <w:rPr>
          <w:sz w:val="19"/>
        </w:rPr>
        <w:t>Deutschland, Universitätsklinik mit vergleichbarem Dokumentationssystem, Patient:innen mit Malignomen.</w:t>
      </w:r>
    </w:p>
    <w:p>
      <w:r>
        <w:rPr>
          <w:color w:val="5A7D3A"/>
          <w:sz w:val="18"/>
        </w:rPr>
        <w:t>https://pubmed.ncbi.nlm.nih.gov/42706520/</w:t>
      </w:r>
    </w:p>
    <w:p>
      <w:pPr>
        <w:pStyle w:val="Heading2"/>
      </w:pPr>
      <w:r>
        <w:t>COVID-19-Impfstoffsicherheit: Präklinische und klinische Pharmakovigilanz verglichen</w:t>
      </w:r>
    </w:p>
    <w:p>
      <w:r>
        <w:rPr>
          <w:i/>
          <w:color w:val="666666"/>
          <w:sz w:val="18"/>
        </w:rPr>
        <w:t>Gonin C et al.  ·  Regul Toxicol Pharmacol  ·  11.07.2026  ·  PMID 42435835</w:t>
      </w:r>
    </w:p>
    <w:p>
      <w:r>
        <w:t>Französische Behörde (ANSM) verglich Sicherheitsdaten aus Laborstudien und Arzneimittelüberwachung für fünf COVID-19-Impfstoffe auf Reaktogenität, Myokarditis und Thrombose.</w:t>
      </w:r>
    </w:p>
    <w:p>
      <w:r>
        <w:rPr>
          <w:b/>
        </w:rPr>
        <w:t xml:space="preserve">Ergebnis: </w:t>
      </w:r>
      <w:r>
        <w:t>Virale Vektorimpfstoffe zeigten höhere Reaktogenität. Myokarditis und Thrombose-Thrombozytopenie wurden nicht in präklinischen Studien vorhergesagt. Biomarker wie Troponin waren klinisch aussagekräftig; keine Korrelation zwischen präklinischen Parametern und klinischen Ergebnissen.</w:t>
      </w:r>
    </w:p>
    <w:p>
      <w:r>
        <w:rPr>
          <w:b/>
          <w:sz w:val="19"/>
        </w:rPr>
        <w:t xml:space="preserve">Übertragbarkeit: </w:t>
      </w:r>
      <w:r>
        <w:rPr>
          <w:sz w:val="19"/>
        </w:rPr>
        <w:t>Frankreich, nationale Pharmakovigilanz mit europäischem Zulassungskontext, auf Deutschland übertragbar.</w:t>
      </w:r>
    </w:p>
    <w:p>
      <w:r>
        <w:rPr>
          <w:color w:val="5A7D3A"/>
          <w:sz w:val="18"/>
        </w:rPr>
        <w:t>https://pubmed.ncbi.nlm.nih.gov/42435835/</w:t>
      </w:r>
    </w:p>
    <w:p>
      <w:pPr>
        <w:pStyle w:val="Heading2"/>
      </w:pPr>
      <w:r>
        <w:t>COVID-19- und Influenza-Impfung sequenziell in Dialyse-Patienten: Immunogenität stabil</w:t>
      </w:r>
    </w:p>
    <w:p>
      <w:r>
        <w:rPr>
          <w:i/>
          <w:color w:val="666666"/>
          <w:sz w:val="18"/>
        </w:rPr>
        <w:t>Bronder S et al.  ·  Sci Rep  ·  06.07.2026  ·  PMID 42410167</w:t>
      </w:r>
    </w:p>
    <w:p>
      <w:r>
        <w:t>Beobachtungsstudie mit 113 dialysepflichtigen Patienten zu sequenzieller Gabe von XBB.1.5-COVID-19-Impfung und Influenza-Impfung im Abstand von 14 Tagen.</w:t>
      </w:r>
    </w:p>
    <w:p>
      <w:r>
        <w:rPr>
          <w:b/>
        </w:rPr>
        <w:t xml:space="preserve">Ergebnis: </w:t>
      </w:r>
      <w:r>
        <w:t>Nach beiden Impfungen: robuste Steigerung humoraler und zellulärer Antworten. Influenza-Impfung beeinträchtigte Spike-spezifische Antikörper oder T-Zell-Antworten nicht. Spike-Reaktionen blieben 6 Monate stabil und über Niveau ungeimpfter Kontrollen.</w:t>
      </w:r>
    </w:p>
    <w:p>
      <w:r>
        <w:rPr>
          <w:b/>
          <w:sz w:val="19"/>
        </w:rPr>
        <w:t xml:space="preserve">Übertragbarkeit: </w:t>
      </w:r>
      <w:r>
        <w:rPr>
          <w:sz w:val="19"/>
        </w:rPr>
        <w:t>Deutschland, vergleichbares Dialyse-System, aber kleine Kohorte; Transfer auf Hochrisiko-Populationen möglich.</w:t>
      </w:r>
    </w:p>
    <w:p>
      <w:r>
        <w:rPr>
          <w:color w:val="5A7D3A"/>
          <w:sz w:val="18"/>
        </w:rPr>
        <w:t>https://pubmed.ncbi.nlm.nih.gov/42410167/</w:t>
      </w:r>
    </w:p>
    <w:p>
      <w:pPr>
        <w:pStyle w:val="Heading1"/>
      </w:pPr>
      <w:r>
        <w:t>Aufgenommen am 08.09.2026</w:t>
      </w:r>
    </w:p>
    <w:p>
      <w:pPr>
        <w:pStyle w:val="Heading2"/>
      </w:pPr>
      <w:r>
        <w:t>Influenzaimpfung in der Schwangerschaft: Wahrnehmungen, Barrieren und Einflussfaktoren im Iran</w:t>
      </w:r>
    </w:p>
    <w:p>
      <w:r>
        <w:rPr>
          <w:i/>
          <w:color w:val="666666"/>
          <w:sz w:val="18"/>
        </w:rPr>
        <w:t>Yousefi M et al.  ·  Hum Vaccin Immunother  ·  07.09.2026  ·  PMID 42704733</w:t>
      </w:r>
    </w:p>
    <w:p>
      <w:r>
        <w:t>Querschnittsbefragung von 630 schwangeren Frauen zu Determinanten der Influenzaimpfakzeptanz mittels kombiniertem Health Belief Model und Theory of Planned Behavior.</w:t>
      </w:r>
    </w:p>
    <w:p>
      <w:r>
        <w:rPr>
          <w:b/>
        </w:rPr>
        <w:t xml:space="preserve">Ergebnis: </w:t>
      </w:r>
      <w:r>
        <w:t>73% wurden während Schwangerschaft geimpft. Wahrgenommene Anfälligkeit und positive Einstellung waren Prädiktoren für Impfintention (β=0,18 bzw. 0,13), wahrgenommene Barrieren wirkten negativ (β=-0,15). Häufigste Barrieren: Nebenwirkungsangst (49,4%), eingeschränkter Zugang (28,2%), fehlende Ärztempfehlung (27,1%), unzureichende Information (34,1%).</w:t>
      </w:r>
    </w:p>
    <w:p>
      <w:r>
        <w:rPr>
          <w:b/>
          <w:sz w:val="19"/>
        </w:rPr>
        <w:t xml:space="preserve">Übertragbarkeit: </w:t>
      </w:r>
      <w:r>
        <w:rPr>
          <w:sz w:val="19"/>
        </w:rPr>
        <w:t>Iran; Erkenntnisse zu Kommunikationsbarrieren in Ländern mit schwächerer Gesundheitsinfrastruktur teilweise übertragbar</w:t>
      </w:r>
    </w:p>
    <w:p>
      <w:r>
        <w:rPr>
          <w:color w:val="5A7D3A"/>
          <w:sz w:val="18"/>
        </w:rPr>
        <w:t>https://pubmed.ncbi.nlm.nih.gov/42704733/</w:t>
      </w:r>
    </w:p>
    <w:p>
      <w:pPr>
        <w:pStyle w:val="Heading2"/>
      </w:pPr>
      <w:r>
        <w:t>Schulisches Engagement für HPV-Impfbewusstsein steigert Akzeptanz bei Mädchen in Malawi</w:t>
      </w:r>
    </w:p>
    <w:p>
      <w:r>
        <w:rPr>
          <w:i/>
          <w:color w:val="666666"/>
          <w:sz w:val="18"/>
        </w:rPr>
        <w:t>Lubanga AF et al.  ·  Hum Vaccin Immunother  ·  07.09.2026  ·  PMID 42703762</w:t>
      </w:r>
    </w:p>
    <w:p>
      <w:r>
        <w:t>Implementierungsfallstudie einer zweitägigen Schulen- und Gemeinde-Engagementinitiative zur HPV-Impfförderung in Lilongwe, Malawi (2025–2026).</w:t>
      </w:r>
    </w:p>
    <w:p>
      <w:r>
        <w:rPr>
          <w:b/>
        </w:rPr>
        <w:t xml:space="preserve">Ergebnis: </w:t>
      </w:r>
      <w:r>
        <w:t>Über 500 Mädchen (9–14 Jahre) wurden durch schulische Aufklärung erreicht, 45 Gemeindeakteure eingebunden, 100 berechtigte Mädchen geimpft. Zentrale Erfolgsfaktoren: Vertrauen zu Impfpersonal, Schulbeteiligung, Dialogformate, Unterstützung von Gemeindeleitern. Identifizierte Bedenken: Fertilitätsangst, Impfstoffsicherheit, Geschlechtszielung.</w:t>
      </w:r>
    </w:p>
    <w:p>
      <w:r>
        <w:rPr>
          <w:b/>
          <w:sz w:val="19"/>
        </w:rPr>
        <w:t xml:space="preserve">Übertragbarkeit: </w:t>
      </w:r>
      <w:r>
        <w:rPr>
          <w:sz w:val="19"/>
        </w:rPr>
        <w:t>Subsahara-Afrika; Strategien für vertrauensbasierte Gemeindemobilisierung teilweise auf Deutschland übertragbar</w:t>
      </w:r>
    </w:p>
    <w:p>
      <w:r>
        <w:rPr>
          <w:color w:val="5A7D3A"/>
          <w:sz w:val="18"/>
        </w:rPr>
        <w:t>https://pubmed.ncbi.nlm.nih.gov/42703762/</w:t>
      </w:r>
    </w:p>
    <w:p>
      <w:pPr>
        <w:pStyle w:val="Heading2"/>
      </w:pPr>
      <w:r>
        <w:t>COVID-19-Auffrischungsimpfung: Ländliche und städtische Disparitäten in Südbangladesh</w:t>
      </w:r>
    </w:p>
    <w:p>
      <w:r>
        <w:rPr>
          <w:i/>
          <w:color w:val="666666"/>
          <w:sz w:val="18"/>
        </w:rPr>
        <w:t>Nath Roy D et al.  ·  Risk Anal  ·  Sept. 2026  ·  PMID 42702940</w:t>
      </w:r>
    </w:p>
    <w:p>
      <w:r>
        <w:t>Querschnittsbeobachtungsstudie (Dezember 2023–März 2024) zu Akzeptanz und Prädiktoren der Auffrischungsimpfung in ländlichen (n=379) und städtischen (n=328) Populationen in Südbangladesh.</w:t>
      </w:r>
    </w:p>
    <w:p>
      <w:r>
        <w:rPr>
          <w:b/>
        </w:rPr>
        <w:t xml:space="preserve">Ergebnis: </w:t>
      </w:r>
      <w:r>
        <w:t>Akzeptanzquote 69,9% insgesamt, ländlich 62,5% (95%-KI: 60,6–64,8) vs. urban 78,4% (95%-KI: 76,2–80,6; p&lt;0,001). Nebenwirkungsangst negativ assoziiert in beiden Settings. Ländlich: Kommunikation, Vertrauen, sozialer Einfluss positiv assoziiert. Urban: Gemeinschaftsschutz und Risiko-Nutzen-Verhältnis signifikant; Unabhängigkeit von Nicht-Pharmaka negativ assoziiert.</w:t>
      </w:r>
    </w:p>
    <w:p>
      <w:r>
        <w:rPr>
          <w:b/>
          <w:sz w:val="19"/>
        </w:rPr>
        <w:t xml:space="preserve">Übertragbarkeit: </w:t>
      </w:r>
      <w:r>
        <w:rPr>
          <w:sz w:val="19"/>
        </w:rPr>
        <w:t>Bangladesch; Erkenntnisse zu Vertrauenslücken und Kommunikationshindernissen in Ländern mit niedriger Impfquote</w:t>
      </w:r>
    </w:p>
    <w:p>
      <w:r>
        <w:rPr>
          <w:color w:val="5A7D3A"/>
          <w:sz w:val="18"/>
        </w:rPr>
        <w:t>https://pubmed.ncbi.nlm.nih.gov/42702940/</w:t>
      </w:r>
    </w:p>
    <w:p>
      <w:pPr>
        <w:pStyle w:val="Heading2"/>
      </w:pPr>
      <w:r>
        <w:t>COVID-19-Impfquote bei Psychiatriepatienten in Bayern deutlich höher als in der Bevölkerung</w:t>
      </w:r>
    </w:p>
    <w:p>
      <w:r>
        <w:rPr>
          <w:i/>
          <w:color w:val="666666"/>
          <w:sz w:val="18"/>
        </w:rPr>
        <w:t>Aksar A et al.  ·  J Psychiatr Res  ·  12.08.2026  ·  PMID 42603342</w:t>
      </w:r>
    </w:p>
    <w:p>
      <w:r>
        <w:t>Retrospektive Analyse der COVID-19-Impfquoten bei psychiatrischen Patienten in stationärer und ambulanter Behandlung in Südostbayern (2022–2023) im Vergleich zur Allgemeinbevölkerung.</w:t>
      </w:r>
    </w:p>
    <w:p>
      <w:r>
        <w:rPr>
          <w:b/>
        </w:rPr>
        <w:t xml:space="preserve">Ergebnis: </w:t>
      </w:r>
      <w:r>
        <w:t>Ungeimpftenquote in der Studiengruppe (n=3.734 Fälle) 13,6% vs. Bayerndurchschnitt 15–20%; höhere Quoten bei älteren und weiblichen Patienten, niedrigere bei Alkohol- und Substanzabhängigen. Ergebnis deuted auf positive Effekte von stationären Impfangeboten hin, bedarf aber weiterer Erforschung.</w:t>
      </w:r>
    </w:p>
    <w:p>
      <w:r>
        <w:rPr>
          <w:b/>
          <w:sz w:val="19"/>
        </w:rPr>
        <w:t xml:space="preserve">Übertragbarkeit: </w:t>
      </w:r>
      <w:r>
        <w:rPr>
          <w:sz w:val="19"/>
        </w:rPr>
        <w:t>Deutsche Klinikdaten, eigene Impfdokumentation ohne Registeranbindung</w:t>
      </w:r>
    </w:p>
    <w:p>
      <w:r>
        <w:rPr>
          <w:color w:val="5A7D3A"/>
          <w:sz w:val="18"/>
        </w:rPr>
        <w:t>https://pubmed.ncbi.nlm.nih.gov/42603342/</w:t>
      </w:r>
    </w:p>
    <w:p>
      <w:pPr>
        <w:pStyle w:val="Heading2"/>
      </w:pPr>
      <w:r>
        <w:t>Neustart in der RSV-Prävention: Nirsevimab und mütterliche Vakzination reduzieren Hospitalisierungen</w:t>
      </w:r>
    </w:p>
    <w:p>
      <w:r>
        <w:rPr>
          <w:i/>
          <w:color w:val="666666"/>
          <w:sz w:val="18"/>
        </w:rPr>
        <w:t>Marchetti F  ·  Recenti Prog Med  ·  Juli 2026  ·  PMID 42459097</w:t>
      </w:r>
    </w:p>
    <w:p>
      <w:r>
        <w:t>Narrativer Übersichtsartikel zur neuen Ärade der RSV-Prävention in früher Kindheit durch langwirksames monoklonales Antikörper Nirsevimab und mütterliche RSVpreF-Impfung basierend auf Real-World Evidence.</w:t>
      </w:r>
    </w:p>
    <w:p>
      <w:r>
        <w:rPr>
          <w:b/>
        </w:rPr>
        <w:t xml:space="preserve">Ergebnis: </w:t>
      </w:r>
      <w:r>
        <w:t>Großangelegte bevölkerungsbasierte Studien (z.B. französische Studie mit &gt;160.000 Säuglingen) belegen wesentliche Reduktion von RSV-bedingten Hospitalisierungen, intensivmedizinischer Aufnahmen und Beatmungsbedarf bei Nirsevimab-geimpften Säuglingen. Mütterliche Impfung schützt transplazentar bei optimaler Timing; Nirsevimab bietet unabhängige Vorhersagbarkeit.</w:t>
      </w:r>
    </w:p>
    <w:p>
      <w:r>
        <w:rPr>
          <w:b/>
          <w:sz w:val="19"/>
        </w:rPr>
        <w:t xml:space="preserve">Übertragbarkeit: </w:t>
      </w:r>
      <w:r>
        <w:rPr>
          <w:sz w:val="19"/>
        </w:rPr>
        <w:t>Frankreich und europäische Daten zur Implementierungserfahrung; nationales Impfprogramm für Deutschland noch zu entwickeln</w:t>
      </w:r>
    </w:p>
    <w:p>
      <w:r>
        <w:rPr>
          <w:color w:val="5A7D3A"/>
          <w:sz w:val="18"/>
        </w:rPr>
        <w:t>https://pubmed.ncbi.nlm.nih.gov/42459097/</w:t>
      </w:r>
    </w:p>
    <w:p>
      <w:pPr>
        <w:pStyle w:val="Heading2"/>
      </w:pPr>
      <w:r>
        <w:t>Immunitätslücken bei Diphtherie, Tetanus und Keuchhusten in Norwegen</w:t>
      </w:r>
    </w:p>
    <w:p>
      <w:r>
        <w:rPr>
          <w:i/>
          <w:color w:val="666666"/>
          <w:sz w:val="18"/>
        </w:rPr>
        <w:t>Aase A et al.  ·  Vaccine  ·  30.08.2026  ·  PMID 42413320</w:t>
      </w:r>
    </w:p>
    <w:p>
      <w:r>
        <w:t>Serologische Querschnittsstudie an repräsentativer norwegischer Bevölkerung (n=3.051, Alter 2–95 Jahre) zur Antikörperprävalenz gegen sieben Impfkrankheiten.</w:t>
      </w:r>
    </w:p>
    <w:p>
      <w:r>
        <w:rPr>
          <w:b/>
        </w:rPr>
        <w:t xml:space="preserve">Ergebnis: </w:t>
      </w:r>
      <w:r>
        <w:t>39,8% der Frauen und 25,0% der Männer ≥60 Jahre unter Schutzwert Diphtherie; 76,5% bzw. 41,7% unter Schutzwert Tetanus. Bei 6-Jährigen: 20,7% unter Diphtherie-, 25,0% unter Tetanus-Schutzwert vor Auffrischung. Masern und Röteln ausreichend protektiv in allen Altersgruppen.</w:t>
      </w:r>
    </w:p>
    <w:p>
      <w:r>
        <w:rPr>
          <w:b/>
          <w:sz w:val="19"/>
        </w:rPr>
        <w:t xml:space="preserve">Übertragbarkeit: </w:t>
      </w:r>
      <w:r>
        <w:rPr>
          <w:sz w:val="19"/>
        </w:rPr>
        <w:t>Nordeuropäisches Impfregister ermöglicht präzise Kohortenabfrage; Empfehlungskalender und Auffrischungsintervalle nicht direkt auf Deutschland übertragbar</w:t>
      </w:r>
    </w:p>
    <w:p>
      <w:r>
        <w:rPr>
          <w:color w:val="5A7D3A"/>
          <w:sz w:val="18"/>
        </w:rPr>
        <w:t>https://pubmed.ncbi.nlm.nih.gov/42413320/</w:t>
      </w:r>
    </w:p>
    <w:p>
      <w:pPr>
        <w:pStyle w:val="Heading1"/>
      </w:pPr>
      <w:r>
        <w:t>Aufgenommen am 07.09.2026</w:t>
      </w:r>
    </w:p>
    <w:p>
      <w:pPr>
        <w:pStyle w:val="Heading2"/>
      </w:pPr>
      <w:r>
        <w:t>HPV-Impfbereitschaft männlicher Studierender: Krankheitserkennung stärker als Dienstleistungsbewusstsein</w:t>
      </w:r>
    </w:p>
    <w:p>
      <w:r>
        <w:rPr>
          <w:i/>
          <w:color w:val="666666"/>
          <w:sz w:val="18"/>
        </w:rPr>
        <w:t>Zhang Y et al.  ·  Front Public Health  ·  21.08.2026  ·  PMID 42698614</w:t>
      </w:r>
    </w:p>
    <w:p>
      <w:r>
        <w:t>Querschnittsumfrage mit 4.260 männlichen Studierenden in China (Festland, Hongkong, Macau, Ausland) zur Bereitschaft für Grenzüberschreitungs-HPV-Impfung (2025–2026).</w:t>
      </w:r>
    </w:p>
    <w:p>
      <w:r>
        <w:rPr>
          <w:b/>
        </w:rPr>
        <w:t xml:space="preserve">Ergebnis: </w:t>
      </w:r>
      <w:r>
        <w:t>74,7% (3.182/4.260) zeigten Bereitschaft für Grenzüberschreitung. Krankheitserkennung war dominantester Faktor: Teilnehmer ohne Erkennung ≥1 HPV-assoziierter Erkrankung hatten deutlich niedrigere Quote (aOR=0,041, 95%-KI 0,017–0,095, p&lt;0,001). Bewusstsein für Grenzüberschreitungsangebot schwach positiv (aOR=1,233, p=0,008). Schulische HPV-Aufklärung (aOR=1,203, p=0,044) und höheres Klassenniveau (aOR=1,111 pro Stufe, p=0,012) assoziiert.</w:t>
      </w:r>
    </w:p>
    <w:p>
      <w:r>
        <w:rPr>
          <w:b/>
          <w:sz w:val="19"/>
        </w:rPr>
        <w:t xml:space="preserve">Übertragbarkeit: </w:t>
      </w:r>
      <w:r>
        <w:rPr>
          <w:sz w:val="19"/>
        </w:rPr>
        <w:t>China – kulturell/system-spezifisch, Erkenntnisse zu Edukationsbedarf und männlicher Impfskepsis aber verallgemeinerbar</w:t>
      </w:r>
    </w:p>
    <w:p>
      <w:r>
        <w:rPr>
          <w:color w:val="5A7D3A"/>
          <w:sz w:val="18"/>
        </w:rPr>
        <w:t>https://pubmed.ncbi.nlm.nih.gov/42698614/</w:t>
      </w:r>
    </w:p>
    <w:p>
      <w:pPr>
        <w:pStyle w:val="Heading2"/>
      </w:pPr>
      <w:r>
        <w:t>Neutralisierende Antikörper senken Risiko für schwere COVID-19 um durchschnittlich 43 %</w:t>
      </w:r>
    </w:p>
    <w:p>
      <w:r>
        <w:rPr>
          <w:i/>
          <w:color w:val="666666"/>
          <w:sz w:val="18"/>
        </w:rPr>
        <w:t>Elias KM et al.  ·  PLoS Med  ·  02.09.2026  ·  PMID 42685247</w:t>
      </w:r>
    </w:p>
    <w:p>
      <w:r>
        <w:t>Meta-Analyse von 25 klinischen Studien zur Wirksamkeit vakzininduzierten Neutralisierungstitern gegen Progression zu schwerem COVID-19 bei Infizierten.</w:t>
      </w:r>
    </w:p>
    <w:p>
      <w:r>
        <w:rPr>
          <w:b/>
        </w:rPr>
        <w:t xml:space="preserve">Ergebnis: </w:t>
      </w:r>
      <w:r>
        <w:t>Zehnfacher Anstieg der Neutralisierungstiter senkt relatives Progressionsrisiko zu schwerer Erkrankung um 43% (RR 0,57, 95%-KI [0,51–0,64], p&lt;0,001). Schutz durch Impfung übertrifft passiv verabreichte Antikörper, deutet aber auch auf zusätzliche T-Zell-Mechanismen hin.</w:t>
      </w:r>
    </w:p>
    <w:p>
      <w:r>
        <w:rPr>
          <w:b/>
          <w:sz w:val="19"/>
        </w:rPr>
        <w:t xml:space="preserve">Übertragbarkeit: </w:t>
      </w:r>
      <w:r>
        <w:rPr>
          <w:sz w:val="19"/>
        </w:rPr>
        <w:t>Australien/international – laborbasierte Korrelate, mechanistischer Befund übertragbar auf deutsche Population</w:t>
      </w:r>
    </w:p>
    <w:p>
      <w:r>
        <w:rPr>
          <w:color w:val="5A7D3A"/>
          <w:sz w:val="18"/>
        </w:rPr>
        <w:t>https://pubmed.ncbi.nlm.nih.gov/42685247/</w:t>
      </w:r>
    </w:p>
    <w:p>
      <w:pPr>
        <w:pStyle w:val="Heading2"/>
      </w:pPr>
      <w:r>
        <w:t>Sicherheit von fünf COVID-19-Impfstoffen: Vergleich von Laborprüfung und Pharmakovigilanz</w:t>
      </w:r>
    </w:p>
    <w:p>
      <w:r>
        <w:rPr>
          <w:i/>
          <w:color w:val="666666"/>
          <w:sz w:val="18"/>
        </w:rPr>
        <w:t>Ren L et al.  ·  Trends Cancer  ·  09.07.2026  ·  PMID 42425835</w:t>
      </w:r>
    </w:p>
    <w:p>
      <w:r>
        <w:t>Vergleichende Analyse von Nichtkliniksicherheitsstudien und Pharmakovigilanzüberwachung zu fünf in Frankreich autorisierten COVID-19-Impfstoffen (Comirnaty, Spikevax, Vaxzevria, Jcovden, Nuvaxovid).</w:t>
      </w:r>
    </w:p>
    <w:p>
      <w:r>
        <w:rPr>
          <w:b/>
        </w:rPr>
        <w:t xml:space="preserve">Ergebnis: </w:t>
      </w:r>
      <w:r>
        <w:t>Reaktogenität bei Vektor-Impfstoffen höher als mRNA-Stoffen. Für seltene Ereignisse (Myokarditis, VITT) zeigten nichtklische Modelle begrenzte Vorhersagekraft. Troponin als klinischer Biomarker identifiziert; Harmonisierung der Biomarker-Überwachung empfohlen – klinische Phänomene wurden durch Labortests nicht vorhergesagt.</w:t>
      </w:r>
    </w:p>
    <w:p>
      <w:r>
        <w:rPr>
          <w:b/>
          <w:sz w:val="19"/>
        </w:rPr>
        <w:t xml:space="preserve">Übertragbarkeit: </w:t>
      </w:r>
      <w:r>
        <w:rPr>
          <w:sz w:val="19"/>
        </w:rPr>
        <w:t>Frankreich/Europa – europäische Zulassungsdaten, PV-Praktiken, pharmakovigilanzregeln vergleichbar</w:t>
      </w:r>
    </w:p>
    <w:p>
      <w:r>
        <w:rPr>
          <w:color w:val="5A7D3A"/>
          <w:sz w:val="18"/>
        </w:rPr>
        <w:t>https://pubmed.ncbi.nlm.nih.gov/42425835/</w:t>
      </w:r>
    </w:p>
    <w:p>
      <w:pPr>
        <w:pStyle w:val="Heading2"/>
      </w:pPr>
      <w:r>
        <w:t>Pneumokokken-Impfquote bei immunsupprimierten Personen in England deutlich unter Zielwert</w:t>
      </w:r>
    </w:p>
    <w:p>
      <w:r>
        <w:rPr>
          <w:i/>
          <w:color w:val="666666"/>
          <w:sz w:val="18"/>
        </w:rPr>
        <w:t>Meza B et al.  ·  JMIR Res Protoc  ·  09.07.2026  ·  PMID 42424613</w:t>
      </w:r>
    </w:p>
    <w:p>
      <w:r>
        <w:t>Retrospektive Kohortenstudie mit Registerdaten von 2025 bis 2026 zur Impfquote bei Erwachsenen mit Immunsuppression in primärärztlicher Versorgung (Oxford-RCGP-Netzwerk).</w:t>
      </w:r>
    </w:p>
    <w:p>
      <w:r>
        <w:rPr>
          <w:b/>
        </w:rPr>
        <w:t xml:space="preserve">Ergebnis: </w:t>
      </w:r>
      <w:r>
        <w:t>Pneumokokken-Impfquote in der immunsupprimierten Population bleibt eine Unbekannte, die Studie befindet sich noch in Analyse (Ergebnisse für 2026 erwartet). Ziel: Disaggregierte Berichte über Impfquoten nach Immunsuppression-Grund, sozioökonomischem Gradienten und ethnischer Gruppe. Erkenntes Problem: Breite Lücke bei hochrisikogruppenspezifischen Impfquoten-Daten.</w:t>
      </w:r>
    </w:p>
    <w:p>
      <w:r>
        <w:rPr>
          <w:b/>
          <w:sz w:val="19"/>
        </w:rPr>
        <w:t xml:space="preserve">Übertragbarkeit: </w:t>
      </w:r>
      <w:r>
        <w:rPr>
          <w:sz w:val="19"/>
        </w:rPr>
        <w:t>Großbritannien – vergleichbares NHS-System, aber kein deutsches Impfregister; Qualität hängt von Registerdatenverfügbarkeit ab</w:t>
      </w:r>
    </w:p>
    <w:p>
      <w:r>
        <w:rPr>
          <w:color w:val="5A7D3A"/>
          <w:sz w:val="18"/>
        </w:rPr>
        <w:t>https://pubmed.ncbi.nlm.nih.gov/42424613/</w:t>
      </w:r>
    </w:p>
    <w:p>
      <w:pPr>
        <w:pStyle w:val="Heading2"/>
      </w:pPr>
      <w:r>
        <w:t>COVID-Impfmandates als Anreiz-Instrumente: 7S-Rahmen für Mandatspolitik</w:t>
      </w:r>
    </w:p>
    <w:p>
      <w:r>
        <w:rPr>
          <w:i/>
          <w:color w:val="666666"/>
          <w:sz w:val="18"/>
        </w:rPr>
        <w:t>Duong H et al.  ·  Glob Public Health  ·  31.12.2026  ·  PMID 42421423</w:t>
      </w:r>
    </w:p>
    <w:p>
      <w:r>
        <w:t>Qualitative Analyse von Impfmandaten in sechs Ländern (Australien, Frankreich, Israel, Malaysia, Singapur, Vietnam) zur Unterscheidung zwischen Zwang und Anreizen.</w:t>
      </w:r>
    </w:p>
    <w:p>
      <w:r>
        <w:rPr>
          <w:b/>
        </w:rPr>
        <w:t xml:space="preserve">Ergebnis: </w:t>
      </w:r>
      <w:r>
        <w:t>Mandate funktionierten überwiegend als Anreize zur Wiederherstellung von Grundrechten (Arbeit, Reisen, öffentliche Räume), die durch Lockdowns entzogen wurden. Theoretischer Rahmen zeigt: Konzeptionelle Definition muss zwischen «Entziehung-Wiederherstellung» und echtem Zwang unterscheiden. Kernaussage für Mandatsforschung: Kontext von Pandemie-Restriktionen prägt Wahrnehmung und Effektivität erheblich.</w:t>
      </w:r>
    </w:p>
    <w:p>
      <w:r>
        <w:rPr>
          <w:b/>
          <w:sz w:val="19"/>
        </w:rPr>
        <w:t xml:space="preserve">Übertragbarkeit: </w:t>
      </w:r>
      <w:r>
        <w:rPr>
          <w:sz w:val="19"/>
        </w:rPr>
        <w:t>Internationale Perspektive – Policyanalyse, weniger direkt auf deutsches System übertragbar, aber konzeptuell relevant für Impfpflicht-Debatten</w:t>
      </w:r>
    </w:p>
    <w:p>
      <w:r>
        <w:rPr>
          <w:color w:val="5A7D3A"/>
          <w:sz w:val="18"/>
        </w:rPr>
        <w:t>https://pubmed.ncbi.nlm.nih.gov/42421423/</w:t>
      </w:r>
    </w:p>
    <w:p>
      <w:pPr>
        <w:pStyle w:val="Heading2"/>
      </w:pPr>
      <w:r>
        <w:t>Video-Intervention steigert Impfbewusstsein bei psychischen Erkrankungen, nicht Impfbereitschaft</w:t>
      </w:r>
    </w:p>
    <w:p>
      <w:r>
        <w:rPr>
          <w:i/>
          <w:color w:val="666666"/>
          <w:sz w:val="18"/>
        </w:rPr>
        <w:t>Huth D et al.  ·  Front Public Health  ·  23.06.2026  ·  PMID 42415765</w:t>
      </w:r>
    </w:p>
    <w:p>
      <w:r>
        <w:t>Randomisierte Online-Studie mit 639 deutschsprachigen Teilnehmern (24,4% mit selbstberichteter psychischer Störung) zur Wirkung eines Aufklärungsvideos auf COVID-19-Impfakzeptanz bei vulnerablen Gruppen.</w:t>
      </w:r>
    </w:p>
    <w:p>
      <w:r>
        <w:rPr>
          <w:b/>
        </w:rPr>
        <w:t xml:space="preserve">Ergebnis: </w:t>
      </w:r>
      <w:r>
        <w:t>Video erhöhte Risikobewusstsein signifikant (p=0,010, d=0,21) und Verständnis für Impfung bei psychischen Erkrankungen (p=0,033, d=0,17), steigerte aber nicht die Impfbereitschaft. Versorgungslücke bleibt offen: Psychisch kranke Menschen zeigen höhere wahrgenommene Anfälligkeit (p=0,032, d=0,36), aber Aufklärung allein führt zu keinem Verhaltenswechsel.</w:t>
      </w:r>
    </w:p>
    <w:p>
      <w:r>
        <w:rPr>
          <w:b/>
          <w:sz w:val="19"/>
        </w:rPr>
        <w:t xml:space="preserve">Übertragbarkeit: </w:t>
      </w:r>
      <w:r>
        <w:rPr>
          <w:sz w:val="19"/>
        </w:rPr>
        <w:t>Deutschland – Teilnehmer aus deutscher Bevölkerung, lokale Vulnerabilitätsgruppen</w:t>
      </w:r>
    </w:p>
    <w:p>
      <w:r>
        <w:rPr>
          <w:color w:val="5A7D3A"/>
          <w:sz w:val="18"/>
        </w:rPr>
        <w:t>https://pubmed.ncbi.nlm.nih.gov/42415765/</w:t>
      </w:r>
    </w:p>
    <w:p>
      <w:pPr>
        <w:pStyle w:val="Heading1"/>
      </w:pPr>
      <w:r>
        <w:t>Aufgenommen am 06.09.2026</w:t>
      </w:r>
    </w:p>
    <w:p>
      <w:pPr>
        <w:pStyle w:val="Heading2"/>
      </w:pPr>
      <w:r>
        <w:t>Tetanus-Schutzimpfungen bei Frauen in Afghanistan: massive Deckungslücken</w:t>
      </w:r>
    </w:p>
    <w:p>
      <w:r>
        <w:rPr>
          <w:i/>
          <w:color w:val="666666"/>
          <w:sz w:val="18"/>
        </w:rPr>
        <w:t>Stanikzai MH et al.  ·  Hum Vaccin Immunother  ·  02.09.2026  ·  PMID 42683523</w:t>
      </w:r>
    </w:p>
    <w:p>
      <w:r>
        <w:t>Nationale Survey mit 12450 verheirateten Frauen in Afghanistan untersuchte Tetanus-Impfquoten und deren Assoziationen.</w:t>
      </w:r>
    </w:p>
    <w:p>
      <w:r>
        <w:rPr>
          <w:b/>
        </w:rPr>
        <w:t xml:space="preserve">Ergebnis: </w:t>
      </w:r>
      <w:r>
        <w:t>Nur 49,9% mit adäquater TT-Immunisierung. Höhere Quote bei sekundärer/höherer Bildung (AOR=1,57), bei ≥4 Antenatal-Care-Besuchen (AOR=4,67), in Regionen mit besserer Infrastruktur. Geringere Quote bei Frauen ≥40 Jahren (AOR=0,76) und in Ost- und Westregionen. Zeigt massive Ungleichheit.</w:t>
      </w:r>
    </w:p>
    <w:p>
      <w:r>
        <w:rPr>
          <w:b/>
          <w:sz w:val="19"/>
        </w:rPr>
        <w:t xml:space="preserve">Übertragbarkeit: </w:t>
      </w:r>
      <w:r>
        <w:rPr>
          <w:sz w:val="19"/>
        </w:rPr>
        <w:t>Afghanistan-spezifisch, aber Methode zur Identifikation von Zugangsbarrieren übertragbar</w:t>
      </w:r>
    </w:p>
    <w:p>
      <w:r>
        <w:rPr>
          <w:color w:val="5A7D3A"/>
          <w:sz w:val="18"/>
        </w:rPr>
        <w:t>https://pubmed.ncbi.nlm.nih.gov/42683523/</w:t>
      </w:r>
    </w:p>
    <w:p>
      <w:pPr>
        <w:pStyle w:val="Heading2"/>
      </w:pPr>
      <w:r>
        <w:t>Masern-Antikörperwaning gefährdet Herdenimmunität trotz hoher Impfquoten</w:t>
      </w:r>
    </w:p>
    <w:p>
      <w:r>
        <w:rPr>
          <w:i/>
          <w:color w:val="666666"/>
          <w:sz w:val="18"/>
        </w:rPr>
        <w:t>Wang W et al.  ·  Front Immunol  ·  18.08.2026  ·  PMID 42682682</w:t>
      </w:r>
    </w:p>
    <w:p>
      <w:r>
        <w:t>Chinesische Serologie-Studie mit 2083 Teilnehmern untersuchte Masern-Antikörper-Persistenz und Immunitätslücken nach Elimination des Wildvirus.</w:t>
      </w:r>
    </w:p>
    <w:p>
      <w:r>
        <w:rPr>
          <w:b/>
        </w:rPr>
        <w:t xml:space="preserve">Ergebnis: </w:t>
      </w:r>
      <w:r>
        <w:t>Gesamte Seropositiv-Quote 84,59%, aber Antikörper-Spiegel zeigten nicht-linearen Rückgang mit Zeit. Kinder 8–17 Monate: nur 28,13% Seropositiv. Jedes Jahr seit letzter Impfung erhöhte Seronegativi-Risiko um 11% (AOR=1,11). Dies zeigt erhebliche Immunitätslücken trotz hoher MCV-Abdeckung.</w:t>
      </w:r>
    </w:p>
    <w:p>
      <w:r>
        <w:rPr>
          <w:b/>
          <w:sz w:val="19"/>
        </w:rPr>
        <w:t xml:space="preserve">Übertragbarkeit: </w:t>
      </w:r>
      <w:r>
        <w:rPr>
          <w:sz w:val="19"/>
        </w:rPr>
        <w:t>Epidemiologische Erkenntnisse übertragbar auf systematische Surveillance-Überwachung</w:t>
      </w:r>
    </w:p>
    <w:p>
      <w:r>
        <w:rPr>
          <w:color w:val="5A7D3A"/>
          <w:sz w:val="18"/>
        </w:rPr>
        <w:t>https://pubmed.ncbi.nlm.nih.gov/42682682/</w:t>
      </w:r>
    </w:p>
    <w:p>
      <w:pPr>
        <w:pStyle w:val="Heading2"/>
      </w:pPr>
      <w:r>
        <w:t>HPV-Impfschutz bestätigt trotz hoher Prävalenz nicht-geimpfter Typen</w:t>
      </w:r>
    </w:p>
    <w:p>
      <w:r>
        <w:rPr>
          <w:i/>
          <w:color w:val="666666"/>
          <w:sz w:val="18"/>
        </w:rPr>
        <w:t>Gross S et al.  ·  Arch Virol  ·  28.08.2026  ·  PMID 42663706</w:t>
      </w:r>
    </w:p>
    <w:p>
      <w:r>
        <w:t>Französische Studie untersuchte HPV-Genotypen bei 464 geimpften Frauen zur Bewertung der Impfeffektivität unter Alltagsbedingungen.</w:t>
      </w:r>
    </w:p>
    <w:p>
      <w:r>
        <w:rPr>
          <w:b/>
        </w:rPr>
        <w:t xml:space="preserve">Ergebnis: </w:t>
      </w:r>
      <w:r>
        <w:t>HPV16/18-Prävalenz lag bei nur 4,3%, was die Impfeffektivität bestätigt. Allerdings wurden hochrisiko-HPV-Typen (52, 51, 56) in 8,2–5,8% nachgewiesen, die nicht in Bivalent- oder Quadrivalent-Impfstoffen enthalten sind. Dies unterstreicht die Überlegenheit nonavalenter Impfstoffe.</w:t>
      </w:r>
    </w:p>
    <w:p>
      <w:r>
        <w:rPr>
          <w:b/>
          <w:sz w:val="19"/>
        </w:rPr>
        <w:t xml:space="preserve">Übertragbarkeit: </w:t>
      </w:r>
      <w:r>
        <w:rPr>
          <w:sz w:val="19"/>
        </w:rPr>
        <w:t>Frankreich, vergleichbares Versicherungssystem, Screening-Daten verfügbar</w:t>
      </w:r>
    </w:p>
    <w:p>
      <w:r>
        <w:rPr>
          <w:color w:val="5A7D3A"/>
          <w:sz w:val="18"/>
        </w:rPr>
        <w:t>https://pubmed.ncbi.nlm.nih.gov/42663706/</w:t>
      </w:r>
    </w:p>
    <w:p>
      <w:pPr>
        <w:pStyle w:val="Heading2"/>
      </w:pPr>
      <w:r>
        <w:t>HBV-Therapeutische Impfung zeigt Immunantwort, aber keine funktionale Heilung</w:t>
      </w:r>
    </w:p>
    <w:p>
      <w:r>
        <w:rPr>
          <w:i/>
          <w:color w:val="666666"/>
          <w:sz w:val="18"/>
        </w:rPr>
        <w:t>Jeng WJ et al.  ·  Hepatol Commun  ·  01.09.2026  ·  PMID 42623526</w:t>
      </w:r>
    </w:p>
    <w:p>
      <w:r>
        <w:t>Phase-1/2-RCT mit 134 Patienten mit chronischer Hepatitis B unter Nukleos(t)id-Analoga testete heterologe prime-boost Impfstrategie.</w:t>
      </w:r>
    </w:p>
    <w:p>
      <w:r>
        <w:rPr>
          <w:b/>
        </w:rPr>
        <w:t xml:space="preserve">Ergebnis: </w:t>
      </w:r>
      <w:r>
        <w:t>Kein HBsAg-Verlust oder ≥1-log-Reduktion bei allen 134 Patienten (primärer Endpunkt verfehlt). Co-Gabe induzierte stärkste Anti-HBs-Antwort (73,7% ≥10 mIU/mL vs. 40% sequential). Grade-3-AE häufiger bei Co-Gabe (59,3% systemisch). CD4+/CD8+ T-Zell-Antworten nachgewiesen, aber begrenzte klinische Wirksamkeit.</w:t>
      </w:r>
    </w:p>
    <w:p>
      <w:r>
        <w:rPr>
          <w:b/>
          <w:sz w:val="19"/>
        </w:rPr>
        <w:t xml:space="preserve">Übertragbarkeit: </w:t>
      </w:r>
      <w:r>
        <w:rPr>
          <w:sz w:val="19"/>
        </w:rPr>
        <w:t>Europäische und internationale Zentren, vergleichbar mit deutschem Versicherungssystem</w:t>
      </w:r>
    </w:p>
    <w:p>
      <w:r>
        <w:rPr>
          <w:color w:val="5A7D3A"/>
          <w:sz w:val="18"/>
        </w:rPr>
        <w:t>https://pubmed.ncbi.nlm.nih.gov/42623526/</w:t>
      </w:r>
    </w:p>
    <w:p>
      <w:pPr>
        <w:pStyle w:val="Heading2"/>
      </w:pPr>
      <w:r>
        <w:t>Computergestützte Prognosen in Schwedens COVID-Impfphase: Forschung ohne Politikbezug</w:t>
      </w:r>
    </w:p>
    <w:p>
      <w:r>
        <w:rPr>
          <w:i/>
          <w:color w:val="666666"/>
          <w:sz w:val="18"/>
        </w:rPr>
        <w:t>Jöud AS et al.  ·  BMC Health Serv Res  ·  10.07.2026  ·  PMID 42432642</w:t>
      </w:r>
    </w:p>
    <w:p>
      <w:r>
        <w:t>Systematische Literaturübersicht bewertete 6 peer-reviewte Computerprognosestudien mit Schwedendaten zur COVID-19-Impfphase 2020–2023.</w:t>
      </w:r>
    </w:p>
    <w:p>
      <w:r>
        <w:rPr>
          <w:b/>
        </w:rPr>
        <w:t xml:space="preserve">Ergebnis: </w:t>
      </w:r>
      <w:r>
        <w:t>Alle 6 Studien zeigten Bayesianische Kalibrierung als Methode, aber keine externe Modellvalidation. Kein einziger Artikel bezog sich auf Politikentscheidungen als primären Forschungskontext. Schluss: Computergestützte Forschung diente Modellentwicklung, nicht Politikunterstützung – Kluft zwischen Forschung und Versorgungsbedarf.</w:t>
      </w:r>
    </w:p>
    <w:p>
      <w:r>
        <w:rPr>
          <w:b/>
          <w:sz w:val="19"/>
        </w:rPr>
        <w:t xml:space="preserve">Übertragbarkeit: </w:t>
      </w:r>
      <w:r>
        <w:rPr>
          <w:sz w:val="19"/>
        </w:rPr>
        <w:t>Schweden, zeigte methodische Lücke bei Verankerung von Forschung in Versorgungspraxis</w:t>
      </w:r>
    </w:p>
    <w:p>
      <w:r>
        <w:rPr>
          <w:color w:val="5A7D3A"/>
          <w:sz w:val="18"/>
        </w:rPr>
        <w:t>https://pubmed.ncbi.nlm.nih.gov/42432642/</w:t>
      </w:r>
    </w:p>
    <w:p>
      <w:pPr>
        <w:pStyle w:val="Heading2"/>
      </w:pPr>
      <w:r>
        <w:t>PCV21 kosteneffektiver als PCV20 in Dänemarks Pneumokokken-Impfprogramm</w:t>
      </w:r>
    </w:p>
    <w:p>
      <w:r>
        <w:rPr>
          <w:i/>
          <w:color w:val="666666"/>
          <w:sz w:val="18"/>
        </w:rPr>
        <w:t>Sharomi O et al.  ·  Expert Rev Pharmacoecon Outcomes Res  ·  10.07.2026  ·  PMID 42421526</w:t>
      </w:r>
    </w:p>
    <w:p>
      <w:r>
        <w:t>Dänemark: Modellanalyse verglich 100-Jahres-Gesundheitsfolgen von PCV21- vs. PCV20-Programm für Erwachsene ≥65 Jahre.</w:t>
      </w:r>
    </w:p>
    <w:p>
      <w:r>
        <w:rPr>
          <w:b/>
        </w:rPr>
        <w:t xml:space="preserve">Ergebnis: </w:t>
      </w:r>
      <w:r>
        <w:t>PCV21 gegenüber PCV20: 29309 NBPP-Fälle, 627 IPD-Fälle und 1312 Todesfälle vermieden über 100 Jahre. 835,2 Mio. dänische Kronen Kosteneinsparung, 759 QALY-Gewinn. ICER-Wert zeigt kostenspannung dominante Strategie (dominant = Einsparungen + bessere Outcomes).</w:t>
      </w:r>
    </w:p>
    <w:p>
      <w:r>
        <w:rPr>
          <w:b/>
          <w:sz w:val="19"/>
        </w:rPr>
        <w:t xml:space="preserve">Übertragbarkeit: </w:t>
      </w:r>
      <w:r>
        <w:rPr>
          <w:sz w:val="19"/>
        </w:rPr>
        <w:t>Dänemark, vergleichbares nordeuropäisches Versicherungssystem und Impfkalender</w:t>
      </w:r>
    </w:p>
    <w:p>
      <w:r>
        <w:rPr>
          <w:color w:val="5A7D3A"/>
          <w:sz w:val="18"/>
        </w:rPr>
        <w:t>https://pubmed.ncbi.nlm.nih.gov/42421526/</w:t>
      </w:r>
    </w:p>
    <w:p>
      <w:pPr>
        <w:pStyle w:val="Heading1"/>
      </w:pPr>
      <w:r>
        <w:t>Aufgenommen am 05.09.2026</w:t>
      </w:r>
    </w:p>
    <w:p>
      <w:pPr>
        <w:pStyle w:val="Heading2"/>
      </w:pPr>
      <w:r>
        <w:t>Influenza-Impfeffektivität gegen Hospitalisierung bei Erwachsenen mit chronischen Erkrankungen</w:t>
      </w:r>
    </w:p>
    <w:p>
      <w:r>
        <w:rPr>
          <w:i/>
          <w:color w:val="666666"/>
          <w:sz w:val="18"/>
        </w:rPr>
        <w:t>Toledo D et al.  ·  Influenza Other Respir Viruses  ·  Sept. 2026  ·  PMID 42693773</w:t>
      </w:r>
    </w:p>
    <w:p>
      <w:r>
        <w:t>Multizentrisches Fall-Kontroll-Verfahren aus 17 spanischen Krankenhäusern zur Bestimmung der klinischen Effektivität der saisonalen Influenzaimpfung bei hospitalisiert behandelten Erwachsenen (15–64 Jahre) mit vorbestehenden medizinischen Erkrankungen über drei Influenzajahreszeiten.</w:t>
      </w:r>
    </w:p>
    <w:p>
      <w:r>
        <w:rPr>
          <w:b/>
        </w:rPr>
        <w:t xml:space="preserve">Ergebnis: </w:t>
      </w:r>
      <w:r>
        <w:t>Von 1.220 hospitalisierten Erwachsenen waren 25,2 % geimpft. Die Impfeffektivität variierte nach Saison, Altersgruppe und Virus-Subtyp; statistisch signifikanter Schutz wurde für alle Jahreszeiten gemeinsam gegen A(H3N2) beobachtet, einzelne Jahreszeiten zeigten keine signifikanten Unterschiede. Die Studie unterstreicht geringe saisonale Influenzaimpfquoten in dieser Bevölkerungsgruppe und die Notwendigkeit verbesserter Impfstrategien.</w:t>
      </w:r>
    </w:p>
    <w:p>
      <w:r>
        <w:rPr>
          <w:b/>
          <w:sz w:val="19"/>
        </w:rPr>
        <w:t xml:space="preserve">Übertragbarkeit: </w:t>
      </w:r>
      <w:r>
        <w:rPr>
          <w:sz w:val="19"/>
        </w:rPr>
        <w:t>Spanien, vergleichbares Gesundheitssystem; Hospitalisierungsdaten messbar</w:t>
      </w:r>
    </w:p>
    <w:p>
      <w:r>
        <w:rPr>
          <w:color w:val="5A7D3A"/>
          <w:sz w:val="18"/>
        </w:rPr>
        <w:t>https://pubmed.ncbi.nlm.nih.gov/42693773/</w:t>
      </w:r>
    </w:p>
    <w:p>
      <w:pPr>
        <w:pStyle w:val="Heading2"/>
      </w:pPr>
      <w:r>
        <w:t>Klima und Impfung als Determinanten für Durchfall-Morbidität in afrikanischen Ländern</w:t>
      </w:r>
    </w:p>
    <w:p>
      <w:r>
        <w:rPr>
          <w:i/>
          <w:color w:val="666666"/>
          <w:sz w:val="18"/>
        </w:rPr>
        <w:t>Kowalcyk M et al.  ·  Nat Commun  ·  06.08.2026  ·  PMID 42693103</w:t>
      </w:r>
    </w:p>
    <w:p>
      <w:r>
        <w:t>Sekundäranalyse der Global Enteric Multicenter Study (GEMS) und VIDA-Studie zur Rolle von Klima und sozioökonomischen Vulnerabilitätsfaktoren bei der Vorhersage pathogenspezifischer Durchfall-Erkrankungen bei Kindern in Gambia, Kenia und Mali.</w:t>
      </w:r>
    </w:p>
    <w:p>
      <w:r>
        <w:rPr>
          <w:b/>
        </w:rPr>
        <w:t xml:space="preserve">Ergebnis: </w:t>
      </w:r>
      <w:r>
        <w:t>Soziodemografische Vulnerabilität (Transport-, Fernseh-, Stromzugang) und Rotavirus-Impfeinführung modifizierten die Assoziation zwischen Wetter und moderatem-schwerem Durchfall. Diese Modifikationen waren standort- und pathogenspezifisch. Bevölkerungszahl war stärkster Prädiktor (SHAP mean absolute 0,167 für Inzidenz). Die Studie zeigt, dass Vulnerabilitätsfaktoren mit variable pathogenspezifischen Erkrankungsrisiken korreliert sind.</w:t>
      </w:r>
    </w:p>
    <w:p>
      <w:r>
        <w:rPr>
          <w:b/>
          <w:sz w:val="19"/>
        </w:rPr>
        <w:t xml:space="preserve">Übertragbarkeit: </w:t>
      </w:r>
      <w:r>
        <w:rPr>
          <w:sz w:val="19"/>
        </w:rPr>
        <w:t>Afrika; Vulnerabilität und Impfprogramme, Versorgungsforschung in ressourcenlimitierten Settings</w:t>
      </w:r>
    </w:p>
    <w:p>
      <w:r>
        <w:rPr>
          <w:color w:val="5A7D3A"/>
          <w:sz w:val="18"/>
        </w:rPr>
        <w:t>https://pubmed.ncbi.nlm.nih.gov/42693103/</w:t>
      </w:r>
    </w:p>
    <w:p>
      <w:pPr>
        <w:pStyle w:val="Heading2"/>
      </w:pPr>
      <w:r>
        <w:t>Barrieren und Beförderer der HPV-Impfakzeptanz in Pakistan vor Programmstart</w:t>
      </w:r>
    </w:p>
    <w:p>
      <w:r>
        <w:rPr>
          <w:i/>
          <w:color w:val="666666"/>
          <w:sz w:val="18"/>
        </w:rPr>
        <w:t>Noreen K et al.  ·  Hum Vaccin Immunother  ·  03.09.2026  ·  PMID 42692950</w:t>
      </w:r>
    </w:p>
    <w:p>
      <w:r>
        <w:t>Qualitative Studie mit Fokusgruppen und Interviews bei Community Worker, Gesundheitspersonal, Lehrkräften, Mädchen und Eltern zur Erfassung von Hemmnissen und Förderungsfaktoren der HPV-Impfakzeptanz vor dem ersten nationalen HPV-Impfprogramm in Pakistan.</w:t>
      </w:r>
    </w:p>
    <w:p>
      <w:r>
        <w:rPr>
          <w:b/>
        </w:rPr>
        <w:t xml:space="preserve">Ergebnis: </w:t>
      </w:r>
      <w:r>
        <w:t>Barrieren: Furcht vor Nebenwirkungen, Impfskepsis, Fehlinformation über soziale Medien, religiöse Wahrnehmungen, patriarchale Entscheidungsfindung, Wartezeitprobleme, Widerstand in der Gemeinde. Beförderer: Erkenntnis des Impfnutzens, unterstützende Familie und Gemeinschaftsnormen, Gesundheitsfachleute-Beratung, religiöse Argumente, aufsuchende Dienste und Vertrauenspersonen wie Schulleitung. Die Befunde unterstreichen Bedarf für kulturell sensible, vertrauensaufbauende Strategien über klinischen Ansatz hinaus.</w:t>
      </w:r>
    </w:p>
    <w:p>
      <w:r>
        <w:rPr>
          <w:b/>
          <w:sz w:val="19"/>
        </w:rPr>
        <w:t xml:space="preserve">Übertragbarkeit: </w:t>
      </w:r>
      <w:r>
        <w:rPr>
          <w:sz w:val="19"/>
        </w:rPr>
        <w:t>Pakistan; Implementierungsforschung für Programmstart nötig, nicht direkt auf Deutschland übertragbar</w:t>
      </w:r>
    </w:p>
    <w:p>
      <w:r>
        <w:rPr>
          <w:color w:val="5A7D3A"/>
          <w:sz w:val="18"/>
        </w:rPr>
        <w:t>https://pubmed.ncbi.nlm.nih.gov/42692950/</w:t>
      </w:r>
    </w:p>
    <w:p>
      <w:pPr>
        <w:pStyle w:val="Heading2"/>
      </w:pPr>
      <w:r>
        <w:t>Monitoring von Impfabbrüchen: Effekt auf Durchimpfungsquoten im ländlichen Südsudan</w:t>
      </w:r>
    </w:p>
    <w:p>
      <w:r>
        <w:rPr>
          <w:i/>
          <w:color w:val="666666"/>
          <w:sz w:val="18"/>
        </w:rPr>
        <w:t>Igga DOM et al.  ·  PLoS One  ·  03.09.2026  ·  PMID 42691046</w:t>
      </w:r>
    </w:p>
    <w:p>
      <w:r>
        <w:t>Prospektive Kohortenstudie über drei Monate in 14 Gesundheitseinrichtungen im Maridi County (Südsudan) zur Wirksamkeit von Monitoring-Mechanismen zur Reduzierung von Impfausfällen bei Säuglingen und Kleinkindern.</w:t>
      </w:r>
    </w:p>
    <w:p>
      <w:r>
        <w:rPr>
          <w:b/>
        </w:rPr>
        <w:t xml:space="preserve">Ergebnis: </w:t>
      </w:r>
      <w:r>
        <w:t>Einrichtungen mit aktualisierten Monitoring-Charts hatten signifikant niedrigere Ausfallquoten (Spearman r = -0,725, p = 0,003). Boma Health Worker (Community-Helfer zur Verfolgung ausstehender Impfungen) waren in 64 % der Einrichtungen präsent; 91,7 % der Einrichtungen mit niedrigen Ausfallquoten hatten Helfer, gegenüber 37,5 % mit hohen Ausfallquoten. Kombinierte Facility- und Community-basierte Monitoring-Mechanismen zeigten komplementären Effekt. Ausfallquoten über 10 % sanken über drei Monate um 9,6 Prozentpunkte.</w:t>
      </w:r>
    </w:p>
    <w:p>
      <w:r>
        <w:rPr>
          <w:b/>
          <w:sz w:val="19"/>
        </w:rPr>
        <w:t xml:space="preserve">Übertragbarkeit: </w:t>
      </w:r>
      <w:r>
        <w:rPr>
          <w:sz w:val="19"/>
        </w:rPr>
        <w:t>Südsudan; Monitoring-Muster auch für Deutschland relevant, aber Gesundheitssystem-Kontext verschieden</w:t>
      </w:r>
    </w:p>
    <w:p>
      <w:r>
        <w:rPr>
          <w:color w:val="5A7D3A"/>
          <w:sz w:val="18"/>
        </w:rPr>
        <w:t>https://pubmed.ncbi.nlm.nih.gov/42691046/</w:t>
      </w:r>
    </w:p>
    <w:p>
      <w:pPr>
        <w:pStyle w:val="Heading2"/>
      </w:pPr>
      <w:r>
        <w:t>Quoten bei Jugendlichen-Impfung USA 2025: HPV stagniert, Tdap und MenACWY leicht gesunken</w:t>
      </w:r>
    </w:p>
    <w:p>
      <w:r>
        <w:rPr>
          <w:i/>
          <w:color w:val="666666"/>
          <w:sz w:val="18"/>
        </w:rPr>
        <w:t>Pingali C et al.  ·  MMWR Morb Mortal Wkly Rep  ·  03.09.2026  ·  PMID 42691006</w:t>
      </w:r>
    </w:p>
    <w:p>
      <w:r>
        <w:t>Analyse der 2025 National Immunization Survey-Teen für 18.692 Adoleszente (13–17 Jahre) zur Erfassung von Trends bei Tetanus-Diptherie-Pertussis (Tdap), Meningokokken- und HPV-Impfquoten in den USA.</w:t>
      </w:r>
    </w:p>
    <w:p>
      <w:r>
        <w:rPr>
          <w:b/>
        </w:rPr>
        <w:t xml:space="preserve">Ergebnis: </w:t>
      </w:r>
      <w:r>
        <w:t>Tdap und MenACWY 2025 zu ca. 90 %, leicht gesunken gegenüber 2024. HPV-Impfquoten (≥1 Dosis und Serie-Vollständigkeit) stiegen zum vierten Jahr nicht an und blieben deutlich unter Tdap/MenACWY. HPV-Quote in ländlich geprägten Gebieten 12,0 Prozentpunkte niedriger als in städtischen Gegenden. Größte Variation zwischen Bundesländern bei HPV. Geografische und regionale Disparitäten persistent.</w:t>
      </w:r>
    </w:p>
    <w:p>
      <w:r>
        <w:rPr>
          <w:b/>
          <w:sz w:val="19"/>
        </w:rPr>
        <w:t xml:space="preserve">Übertragbarkeit: </w:t>
      </w:r>
      <w:r>
        <w:rPr>
          <w:sz w:val="19"/>
        </w:rPr>
        <w:t>USA; Quoten nicht direkt übertragbar, aber Disparitätsmuster ländlich/urban ähnlich Deutschland</w:t>
      </w:r>
    </w:p>
    <w:p>
      <w:r>
        <w:rPr>
          <w:color w:val="5A7D3A"/>
          <w:sz w:val="18"/>
        </w:rPr>
        <w:t>https://pubmed.ncbi.nlm.nih.gov/42691006/</w:t>
      </w:r>
    </w:p>
    <w:p>
      <w:pPr>
        <w:pStyle w:val="Heading2"/>
      </w:pPr>
      <w:r>
        <w:t>Impfassoziierte Belastung: Implementierung canadischer Leitlinien in Niederländisches Impfprogramm</w:t>
      </w:r>
    </w:p>
    <w:p>
      <w:r>
        <w:rPr>
          <w:i/>
          <w:color w:val="666666"/>
          <w:sz w:val="18"/>
        </w:rPr>
        <w:t>Huijten DCM et al.  ·  Clin J Pain  ·  01.08.2026  ·  PMID 42444177</w:t>
      </w:r>
    </w:p>
    <w:p>
      <w:r>
        <w:t>Erfahrungsbericht zur kulturellen Anpassung des CARD-Systems (Comfort-Ask-Relax-Distract) aus Kanada für das Niederländische Nationale Impfprogramm, um impfassoziierte Stress-Reaktionen (Schmerz, Nadelangst) zu reduzieren und Quote zu erhöhen.</w:t>
      </w:r>
    </w:p>
    <w:p>
      <w:r>
        <w:rPr>
          <w:b/>
        </w:rPr>
        <w:t xml:space="preserve">Ergebnis: </w:t>
      </w:r>
      <w:r>
        <w:t>Der CARD-Multikomponenten-Ansatz kombiniert Edukation mit mehreren Interventionen zur Stressreduktion (prozessual, physisch, pharmakologisch, psychologisch). Systematische Anpassung mittels EPIS-Rahmenwerk (Exploration-Preparation-Implementation-Sustainment) wurde durchgeführt. Das Konzept zeigt, dass Effektivität in einem Kontext (Kanada) nicht automatisch in anderem (Niederlande) funktioniert. Pilotstudie im niederländischen Kontext geplant.</w:t>
      </w:r>
    </w:p>
    <w:p>
      <w:r>
        <w:rPr>
          <w:b/>
          <w:sz w:val="19"/>
        </w:rPr>
        <w:t xml:space="preserve">Übertragbarkeit: </w:t>
      </w:r>
      <w:r>
        <w:rPr>
          <w:sz w:val="19"/>
        </w:rPr>
        <w:t>Niederlande, vergleichbares Impfprogramm; übertragbar auf Deutsche Impfkompetenz-Schulung</w:t>
      </w:r>
    </w:p>
    <w:p>
      <w:r>
        <w:rPr>
          <w:color w:val="5A7D3A"/>
          <w:sz w:val="18"/>
        </w:rPr>
        <w:t>https://pubmed.ncbi.nlm.nih.gov/42444177/</w:t>
      </w:r>
    </w:p>
    <w:p>
      <w:pPr>
        <w:pStyle w:val="Heading1"/>
      </w:pPr>
      <w:r>
        <w:t>Aufgenommen am 04.09.2026</w:t>
      </w:r>
    </w:p>
    <w:p>
      <w:pPr>
        <w:pStyle w:val="Heading2"/>
      </w:pPr>
      <w:r>
        <w:t>HPV-Impfbewusstsein in indigenen Gemeinschaften Kanadas niedrig</w:t>
      </w:r>
    </w:p>
    <w:p>
      <w:r>
        <w:rPr>
          <w:i/>
          <w:color w:val="666666"/>
          <w:sz w:val="18"/>
        </w:rPr>
        <w:t>Omidimorad A et al.  ·  PLoS One  ·  03.09.2026  ·  PMID 42691150</w:t>
      </w:r>
    </w:p>
    <w:p>
      <w:r>
        <w:t>Community-based participatory research in 11 indigenen Gemeinschaften der Northwest Territories (Kanada, n=221 Erwachsene ≥18 Jahre): Quantitative und qualitative Befragung zu HPV- und HPV-Impfbewusstsein; Multiple logistische Regression und thematische Analyse zu Nicht-Impfungs-Gründen.</w:t>
      </w:r>
    </w:p>
    <w:p>
      <w:r>
        <w:rPr>
          <w:b/>
        </w:rPr>
        <w:t xml:space="preserve">Ergebnis: </w:t>
      </w:r>
      <w:r>
        <w:t>Etwa 50% hatten von HPV gehört, &lt;1/3 von HPV-Impfstoff. Bildung signifikant assoziiert: Niedrigere Bildung → niedrigeres HPV-Bewusstsein (p&lt;0,001). Alter, Geschlecht, Bildung prädizieren Impfstoff-Bewusstsein (Frauen, höhere Bildung, jünger: höher). Nur 26,3% der Geimpften ≤26 Jahre. Qualitativ: Mangelndes Wissen und unzureichende Information sind Hauptbarrieren.</w:t>
      </w:r>
    </w:p>
    <w:p>
      <w:r>
        <w:rPr>
          <w:b/>
          <w:sz w:val="19"/>
        </w:rPr>
        <w:t xml:space="preserve">Übertragbarkeit: </w:t>
      </w:r>
      <w:r>
        <w:rPr>
          <w:sz w:val="19"/>
        </w:rPr>
        <w:t>Kanada, indigene Populations-spezifik; Lessons für deutsche Gesundheitsungleichheit relevant.</w:t>
      </w:r>
    </w:p>
    <w:p>
      <w:r>
        <w:rPr>
          <w:color w:val="5A7D3A"/>
          <w:sz w:val="18"/>
        </w:rPr>
        <w:t>https://pubmed.ncbi.nlm.nih.gov/42691150/</w:t>
      </w:r>
    </w:p>
    <w:p>
      <w:pPr>
        <w:pStyle w:val="Heading2"/>
      </w:pPr>
      <w:r>
        <w:t>Peer-Education durch Medizinstudierende steigert HPV-Impfwissen bei japanischen Jugendlichen</w:t>
      </w:r>
    </w:p>
    <w:p>
      <w:r>
        <w:rPr>
          <w:i/>
          <w:color w:val="666666"/>
          <w:sz w:val="18"/>
        </w:rPr>
        <w:t>Nakajima K et al.  ·  Hum Vaccin Immunother  ·  02.09.2026  ·  PMID 42687414</w:t>
      </w:r>
    </w:p>
    <w:p>
      <w:r>
        <w:t>Explorative Interventionsstudie (Feb 2022–März 2024): Medizinstudierende gaben 1-Stunden-Schulungen zu HPV-Transmission, Gebärmutterhalskrebs-Prävention und Impfwirksamkeit in japanischen Schulen; Folgeerhebung 1–2 Wochen später zu Wissen, Haltung und Impfverhalten.</w:t>
      </w:r>
    </w:p>
    <w:p>
      <w:r>
        <w:rPr>
          <w:b/>
        </w:rPr>
        <w:t xml:space="preserve">Ergebnis: </w:t>
      </w:r>
      <w:r>
        <w:t>864 Schüler teilgenommen, 332 gefolgt. Von 248 Ungeimpften vor Session: 10 Mädchen (7,5%) und 1 Junge (0,9%) erhielten HPV-Impfung innerhalb von 2 Wochen. Schüler mit positiver Impfabsicht zeigten höhere Verständnis-Scores. Geimpfte identifizierten HPV-verhinderbare Krebsarten häufiger korrekt.</w:t>
      </w:r>
    </w:p>
    <w:p>
      <w:r>
        <w:rPr>
          <w:b/>
          <w:sz w:val="19"/>
        </w:rPr>
        <w:t xml:space="preserve">Übertragbarkeit: </w:t>
      </w:r>
      <w:r>
        <w:rPr>
          <w:sz w:val="19"/>
        </w:rPr>
        <w:t>Japan-Daten; Near-Peer-Modell könnte für deutsches Schulimpf-Setting adaptierbar sein.</w:t>
      </w:r>
    </w:p>
    <w:p>
      <w:r>
        <w:rPr>
          <w:color w:val="5A7D3A"/>
          <w:sz w:val="18"/>
        </w:rPr>
        <w:t>https://pubmed.ncbi.nlm.nih.gov/42687414/</w:t>
      </w:r>
    </w:p>
    <w:p>
      <w:pPr>
        <w:pStyle w:val="Heading2"/>
      </w:pPr>
      <w:r>
        <w:t>HPV-Impfbereitschaft bei Eltern in ethnischen Autonomie-Bezirken Chinas</w:t>
      </w:r>
    </w:p>
    <w:p>
      <w:r>
        <w:rPr>
          <w:i/>
          <w:color w:val="666666"/>
          <w:sz w:val="18"/>
        </w:rPr>
        <w:t>Li X et al.  ·  Hum Vaccin Immunother  ·  01.09.2026  ·  PMID 42678389</w:t>
      </w:r>
    </w:p>
    <w:p>
      <w:r>
        <w:t>Querschnittsbefragung in Qinghai-Provinz (Dezember 2024–Februar 2025): Erziehungsberechtigte von Schulkindern zu HPV-Impfbereitschaft; Theorien: Health Belief Model und Theory of Planned Behavior (TPB); Hierarchische Regressionsmodelle.</w:t>
      </w:r>
    </w:p>
    <w:p>
      <w:r>
        <w:rPr>
          <w:b/>
        </w:rPr>
        <w:t xml:space="preserve">Ergebnis: </w:t>
      </w:r>
      <w:r>
        <w:t>Hui-Ethnie vs. Han-Ethnie: niedrigere Impfbereitschaft (B=−0,229, p=0,003). Positive Assoziationen mit: Aktionsimpulsen (β=0,121), wahrgenommenen Barrieren (β=0,128), Einstellungen (β=0,203), wahrgenommenem Verhaltenskontrolle (β=0,107), Subjektiven Normen (β=0,323). Bildung und mittleres Einkommen prädizierten höhere Bereitschaft.</w:t>
      </w:r>
    </w:p>
    <w:p>
      <w:r>
        <w:rPr>
          <w:b/>
          <w:sz w:val="19"/>
        </w:rPr>
        <w:t xml:space="preserve">Übertragbarkeit: </w:t>
      </w:r>
      <w:r>
        <w:rPr>
          <w:sz w:val="19"/>
        </w:rPr>
        <w:t>China, kollektive Health-Literacy-Strukturen; Barrieren für deutsche Migrantengruppen vergleichbar.</w:t>
      </w:r>
    </w:p>
    <w:p>
      <w:r>
        <w:rPr>
          <w:color w:val="5A7D3A"/>
          <w:sz w:val="18"/>
        </w:rPr>
        <w:t>https://pubmed.ncbi.nlm.nih.gov/42678389/</w:t>
      </w:r>
    </w:p>
    <w:p>
      <w:pPr>
        <w:pStyle w:val="Heading2"/>
      </w:pPr>
      <w:r>
        <w:t>Geospatial mapping reveals Zero-Dose concentrations in low- und lower-middle-income countries</w:t>
      </w:r>
    </w:p>
    <w:p>
      <w:r>
        <w:rPr>
          <w:i/>
          <w:color w:val="666666"/>
          <w:sz w:val="18"/>
        </w:rPr>
        <w:t>Njogu AM et al.  ·  Vaccine  ·  30.08.2026  ·  PMID 42442083</w:t>
      </w:r>
    </w:p>
    <w:p>
      <w:r>
        <w:t>Scoping Review zu räumlichen Modellierungsmethoden für Impfquoten in Ländern mit niedrigem Einkommen: 102 Artikel analysiert, hauptsächlich zu Routineimpfungen; nur 19,6% zu Zero-Dose-Prävalenz.</w:t>
      </w:r>
    </w:p>
    <w:p>
      <w:r>
        <w:rPr>
          <w:b/>
        </w:rPr>
        <w:t xml:space="preserve">Ergebnis: </w:t>
      </w:r>
      <w:r>
        <w:t>70% der Studien stammen aus 2021-2024. Die meisten nutzen Befragungsdaten statt Routinedaten. Größte Defizite: uneinheitliche Zero-Dose-Definitionen, begrenzte Routinedaten-Nutzung, Unterrepräsentation marginalisierter Gruppen. Geospatiale Kartierung expandiert, aber explorativ statt präzise genug zum gezielten Targeting.</w:t>
      </w:r>
    </w:p>
    <w:p>
      <w:r>
        <w:rPr>
          <w:b/>
          <w:sz w:val="19"/>
        </w:rPr>
        <w:t xml:space="preserve">Übertragbarkeit: </w:t>
      </w:r>
      <w:r>
        <w:rPr>
          <w:sz w:val="19"/>
        </w:rPr>
        <w:t>Entwicklungsländer-Fokus; Erkenntnisse für deutsche Registerentwicklung nicht direkt übertragbar.</w:t>
      </w:r>
    </w:p>
    <w:p>
      <w:r>
        <w:rPr>
          <w:color w:val="5A7D3A"/>
          <w:sz w:val="18"/>
        </w:rPr>
        <w:t>https://pubmed.ncbi.nlm.nih.gov/42442083/</w:t>
      </w:r>
    </w:p>
    <w:p>
      <w:pPr>
        <w:pStyle w:val="Heading2"/>
      </w:pPr>
      <w:r>
        <w:t>Antikörperpersistenz nach Kinderimpfungen mit maternaler Tdap-Exposition</w:t>
      </w:r>
    </w:p>
    <w:p>
      <w:r>
        <w:rPr>
          <w:i/>
          <w:color w:val="666666"/>
          <w:sz w:val="18"/>
        </w:rPr>
        <w:t>De Weerdt L et al.  ·  Vaccine  ·  13.08.2026  ·  PMID 42430876</w:t>
      </w:r>
    </w:p>
    <w:p>
      <w:r>
        <w:t>Längsschnittstudie an belgischen Kindern (Term und Frühgeborene) zu Antikörperpersistenz nach sechsvalenter DTaP-IPV-HB-PRP-Impfung und Antwort auf Auffrischung im Schulalter; Maternale Tdap-Impfung während Schwangerschaft als Exposition.</w:t>
      </w:r>
    </w:p>
    <w:p>
      <w:r>
        <w:rPr>
          <w:b/>
        </w:rPr>
        <w:t xml:space="preserve">Ergebnis: </w:t>
      </w:r>
      <w:r>
        <w:t>128 Kinder bei 3 Jahren, 106 bei 5 Jahren, 94 mit Schulauffrischung. Antikörperspiegel sanken zwischen Jahr 3 und 5, Schutzraten blieben hoch (außer Anti-HB: sinkend). Nach Auffrischung: 100% Seroschutz für Diphtherie/Tetanus/Polio Typ 1, ≥96% für Polio Typ 2+3, ≥93% Pertussis-Serokonversion. Maternale Tdap-Strategie wird gestützt.</w:t>
      </w:r>
    </w:p>
    <w:p>
      <w:r>
        <w:rPr>
          <w:b/>
          <w:sz w:val="19"/>
        </w:rPr>
        <w:t xml:space="preserve">Übertragbarkeit: </w:t>
      </w:r>
      <w:r>
        <w:rPr>
          <w:sz w:val="19"/>
        </w:rPr>
        <w:t>Belgien, vergleichbares Versicherungssystem; Impfkalender-Struktur ähnlich.</w:t>
      </w:r>
    </w:p>
    <w:p>
      <w:r>
        <w:rPr>
          <w:color w:val="5A7D3A"/>
          <w:sz w:val="18"/>
        </w:rPr>
        <w:t>https://pubmed.ncbi.nlm.nih.gov/42430876/</w:t>
      </w:r>
    </w:p>
    <w:p>
      <w:pPr>
        <w:pStyle w:val="Heading2"/>
      </w:pPr>
      <w:r>
        <w:t>COVID-19-Impfakzeptanz variiert nach Herkunftsregion in Schweden</w:t>
      </w:r>
    </w:p>
    <w:p>
      <w:r>
        <w:rPr>
          <w:i/>
          <w:color w:val="666666"/>
          <w:sz w:val="18"/>
        </w:rPr>
        <w:t>Hassan M et al.  ·  Front Public Health  ·  24.06.2026  ·  PMID 42422674</w:t>
      </w:r>
    </w:p>
    <w:p>
      <w:r>
        <w:t>Querschnittsbefragung in Schweden (n=3.281) zur COVID-19-Impfbereitschaft stratifiziert nach Geburtsregion: Schweden, Westländer, Nicht-Westländer. Sechs Domänen (Vertrauensdomänen, Normen, Erreichbarkeit) gemessen.</w:t>
      </w:r>
    </w:p>
    <w:p>
      <w:r>
        <w:rPr>
          <w:b/>
        </w:rPr>
        <w:t xml:space="preserve">Ergebnis: </w:t>
      </w:r>
      <w:r>
        <w:t>Geimpfte aus Schweden und Westländern hatten 9,5 bzw. 8,9 Punkte höhere Akzeptanzscores als Ungeimpfte; bei Nicht-Westländern nur 2,8 Punkte Unterschied. Bei Schweden/Westländern: ‚Deskriptive Normen' und ‚Vertrauen in Impfstoffe' stärkste Prädiktoren (OR 2,5–3,6). Bei Nicht-Westländern nur ‚Vertrauen' und ‚Nutzen-Risiko' relevant (OR 1,6–1,7).</w:t>
      </w:r>
    </w:p>
    <w:p>
      <w:r>
        <w:rPr>
          <w:b/>
          <w:sz w:val="19"/>
        </w:rPr>
        <w:t xml:space="preserve">Übertragbarkeit: </w:t>
      </w:r>
      <w:r>
        <w:rPr>
          <w:sz w:val="19"/>
        </w:rPr>
        <w:t>Skandinavien, Public-Health-System ähnlich; zeigt Defizit bei Migranten-Outreach.</w:t>
      </w:r>
    </w:p>
    <w:p>
      <w:r>
        <w:rPr>
          <w:color w:val="5A7D3A"/>
          <w:sz w:val="18"/>
        </w:rPr>
        <w:t>https://pubmed.ncbi.nlm.nih.gov/42422674/</w:t>
      </w:r>
    </w:p>
    <w:p>
      <w:pPr>
        <w:pStyle w:val="Heading1"/>
      </w:pPr>
      <w:r>
        <w:t>Aufgenommen am 03.09.2026</w:t>
      </w:r>
    </w:p>
    <w:p>
      <w:pPr>
        <w:pStyle w:val="Heading2"/>
      </w:pPr>
      <w:r>
        <w:t>Grippeimpf-Bewusstsein und -Quote bei Frauen im gebärfähigen Alter in Shanghai</w:t>
      </w:r>
    </w:p>
    <w:p>
      <w:r>
        <w:rPr>
          <w:i/>
          <w:color w:val="666666"/>
          <w:sz w:val="18"/>
        </w:rPr>
        <w:t>Liu P et al.  ·  Hum Vaccin Immunother  ·  16.07.2026  ·  PMID 42684141</w:t>
      </w:r>
    </w:p>
    <w:p>
      <w:r>
        <w:t>Bevölkerungsbasierte Querschnittsstudie zur Impfbereitschaft gegen Influenza bei Frauen im Alter von 15–49 Jahren in Shanghai (Pudong), einschließlich Schwangerenszenarien.</w:t>
      </w:r>
    </w:p>
    <w:p>
      <w:r>
        <w:rPr>
          <w:b/>
        </w:rPr>
        <w:t xml:space="preserve">Ergebnis: </w:t>
      </w:r>
      <w:r>
        <w:t>Wissenswert: 60,61 % zu Influenza, 56,46 % zu Grippeimpfstoff. Gesundheitsberufe hatten höchste Kompetenz. Bei hypothetischer Schwangerschaft: Injektionspräferenz fiel von 41,25 % auf 13,31 %, Nasenspray stieg von 10,60 % auf 23,17 %, Ablehnung von 10,19 % auf 35,58 %. Schwangere bevorzugten Nasenspray (41,67 %). 87,63 % würden Empfehlungen von Frauenärzten folgen.</w:t>
      </w:r>
    </w:p>
    <w:p>
      <w:r>
        <w:rPr>
          <w:b/>
          <w:sz w:val="19"/>
        </w:rPr>
        <w:t xml:space="preserve">Übertragbarkeit: </w:t>
      </w:r>
      <w:r>
        <w:rPr>
          <w:sz w:val="19"/>
        </w:rPr>
        <w:t>China, aber zeigt Muster zur Impfentscheidung in Schwangerschaft anwendbar auf deutsche Kommunikation</w:t>
      </w:r>
    </w:p>
    <w:p>
      <w:r>
        <w:rPr>
          <w:color w:val="5A7D3A"/>
          <w:sz w:val="18"/>
        </w:rPr>
        <w:t>https://pubmed.ncbi.nlm.nih.gov/42684141/</w:t>
      </w:r>
    </w:p>
    <w:p>
      <w:pPr>
        <w:pStyle w:val="Heading2"/>
      </w:pPr>
      <w:r>
        <w:t>Influenza-Impfquoten bei Ärztinnen und Pflegekräften: Deutschland und China im Vergleich</w:t>
      </w:r>
    </w:p>
    <w:p>
      <w:r>
        <w:rPr>
          <w:i/>
          <w:color w:val="666666"/>
          <w:sz w:val="18"/>
        </w:rPr>
        <w:t>Sanftenberg L et al.  ·  BMC Public Health  ·  01.09.2026  ·  PMID 42681616</w:t>
      </w:r>
    </w:p>
    <w:p>
      <w:r>
        <w:t>Vergleichende Querschnittsstudie zu psychologischen und strukturellen Barrieren für die Grippeimpfung bei Gesundheitspersonal in Deutschland (8.351 Arbeitskräfte, 72 Krankenhäuser) und China (689 Arbeitskräfte, 9 Krankenhäuser) 2024–2025.</w:t>
      </w:r>
    </w:p>
    <w:p>
      <w:r>
        <w:rPr>
          <w:b/>
        </w:rPr>
        <w:t xml:space="preserve">Ergebnis: </w:t>
      </w:r>
      <w:r>
        <w:t>Deutsche Ärzte: 80,9 % geimpft, deutsche Pflegekräfte 48,7 %; chinesische Ärzte: 28,8 %, chinesische Pflegekräfte 32,2 %. Vertrauen und Eigenverantwortung waren wichtige Treiber in beiden Ländern. Deutsche Profis nannten individuelle Gründe für Ablehnung, chinesische hingegen Hürden in der Einrichtung (Zeitmangel). Effektive Interventionen: kostenlose Impfung, Bildung, organisatorische Maßnahmen.</w:t>
      </w:r>
    </w:p>
    <w:p>
      <w:r>
        <w:rPr>
          <w:b/>
          <w:sz w:val="19"/>
        </w:rPr>
        <w:t xml:space="preserve">Übertragbarkeit: </w:t>
      </w:r>
      <w:r>
        <w:rPr>
          <w:sz w:val="19"/>
        </w:rPr>
        <w:t>Deutsche Klinikdaten, vergleichbares Versicherungssystem und Gesundheitsberuferegeln</w:t>
      </w:r>
    </w:p>
    <w:p>
      <w:r>
        <w:rPr>
          <w:color w:val="5A7D3A"/>
          <w:sz w:val="18"/>
        </w:rPr>
        <w:t>https://pubmed.ncbi.nlm.nih.gov/42681616/</w:t>
      </w:r>
    </w:p>
    <w:p>
      <w:pPr>
        <w:pStyle w:val="Heading2"/>
      </w:pPr>
      <w:r>
        <w:t>COVID-19-Impfung bei fortgeschrittenem Lungenkarzinom und Immuntherapie: Real-World-Daten aus Rumänien</w:t>
      </w:r>
    </w:p>
    <w:p>
      <w:r>
        <w:rPr>
          <w:i/>
          <w:color w:val="666666"/>
          <w:sz w:val="18"/>
        </w:rPr>
        <w:t>Gheorghiță V et al.  ·  Medicina (Kaunas)  ·  18.08.2026  ·  PMID 42654486</w:t>
      </w:r>
    </w:p>
    <w:p>
      <w:r>
        <w:t>Retrospektive Kohortenstudie an 139 Patienten mit Stadium-IV-Nicht-Kleinzellkarzinom, die Immun-Checkpoint-Inhibitoren erhielten, stratifiziert nach COVID-19-Impfstatus (0–1 vs. ≥2 Dosen).</w:t>
      </w:r>
    </w:p>
    <w:p>
      <w:r>
        <w:rPr>
          <w:b/>
        </w:rPr>
        <w:t xml:space="preserve">Ergebnis: </w:t>
      </w:r>
      <w:r>
        <w:t>Geimpfte Patienten: längeres progressionsfreies Überleben (13,0 vs. 11,0 Monate) und Gesamtüberleben (29,0 vs. 24,0 Monate; beide p&lt;0,001). Nach Multivariablenkalibrierung abgeschwächt, aber Grenzwertbereich (OS HR=0,83; PFS HR=0,79). ≥2 Dosen assoziiert mit besseren Ergebnissen (PFS 14,0 vs. 12,0 Monate, OS 30,0 vs. 24,0 Monate). Höhere Odds für Grad-1/2-Toxizität mit ≥2 Dosen (OR=2,47, p=0,037), aber keine Grade-4/5-Ereignisse.</w:t>
      </w:r>
    </w:p>
    <w:p>
      <w:r>
        <w:rPr>
          <w:b/>
          <w:sz w:val="19"/>
        </w:rPr>
        <w:t xml:space="preserve">Übertragbarkeit: </w:t>
      </w:r>
      <w:r>
        <w:rPr>
          <w:sz w:val="19"/>
        </w:rPr>
        <w:t>Rumänien, aber Sicherheit in vulnerabler Patientengruppe mit Immuntherapie untersucht</w:t>
      </w:r>
    </w:p>
    <w:p>
      <w:r>
        <w:rPr>
          <w:color w:val="5A7D3A"/>
          <w:sz w:val="18"/>
        </w:rPr>
        <w:t>https://pubmed.ncbi.nlm.nih.gov/42654486/</w:t>
      </w:r>
    </w:p>
    <w:p>
      <w:pPr>
        <w:pStyle w:val="Heading2"/>
      </w:pPr>
      <w:r>
        <w:t>Jennerian-Vakzination in Europa (1799–1810): Transnational verbreitete Arznei und Wissen</w:t>
      </w:r>
    </w:p>
    <w:p>
      <w:r>
        <w:rPr>
          <w:i/>
          <w:color w:val="666666"/>
          <w:sz w:val="18"/>
        </w:rPr>
        <w:t>Tuells J  ·  Vaccine  ·  17.09.2026  ·  PMID 42600246</w:t>
      </w:r>
    </w:p>
    <w:p>
      <w:r>
        <w:t>Historische Studie zur frühen Verbreitung der Kuhpockenvakzination in Europa durch ein Netzwerk von Ärzten, anhand von Korrespondenz und Materialflüssen zwischen London, Wien und Genf.</w:t>
      </w:r>
    </w:p>
    <w:p>
      <w:r>
        <w:rPr>
          <w:b/>
        </w:rPr>
        <w:t xml:space="preserve">Ergebnis: </w:t>
      </w:r>
      <w:r>
        <w:t>Jean de Carro, ein Genfer Arzt in Wien, fungierte als Vermittler für die Verbreitung von Vakzinationswissen und Impfstoff-Lymphe. Das Netzwerk ermöglichte die rasche Ausbreitung von 1799 bis 1810 in Richtung Ottomanisches Reich und Indien. Vakzination verbreitete sich nicht allein durch staatliche Kampagnen, sondern durch transnationale ärztliche Netzwerke.</w:t>
      </w:r>
    </w:p>
    <w:p>
      <w:r>
        <w:rPr>
          <w:b/>
          <w:sz w:val="19"/>
        </w:rPr>
        <w:t xml:space="preserve">Übertragbarkeit: </w:t>
      </w:r>
      <w:r>
        <w:rPr>
          <w:sz w:val="19"/>
        </w:rPr>
        <w:t>Historische Perspektive auf Vakzinationsverbreitung durch Netzwerke und persönliche Verbindungen</w:t>
      </w:r>
    </w:p>
    <w:p>
      <w:r>
        <w:rPr>
          <w:color w:val="5A7D3A"/>
          <w:sz w:val="18"/>
        </w:rPr>
        <w:t>https://pubmed.ncbi.nlm.nih.gov/42600246/</w:t>
      </w:r>
    </w:p>
    <w:p>
      <w:pPr>
        <w:pStyle w:val="Heading2"/>
      </w:pPr>
      <w:r>
        <w:t>Mütterliche Sechsfach-Streptococcus-B-Impfung: Phase-1/2-Studie bei nicht-schwangeren und schwangeren Frauen</w:t>
      </w:r>
    </w:p>
    <w:p>
      <w:r>
        <w:rPr>
          <w:i/>
          <w:color w:val="666666"/>
          <w:sz w:val="18"/>
        </w:rPr>
        <w:t>Madhi SA et al.  ·  Nat Med  ·  28.07.2026  ·  PMID 42521820</w:t>
      </w:r>
    </w:p>
    <w:p>
      <w:r>
        <w:t>Randomisierte Phase-1/2-Studie zur Sicherheit, Verträglichkeit und Immunogenität einer hexavalenten Polysaccharid-Protein-Konjugat-GBS-Vakzine (GBS6) in nicht-schwangeren Frauen und schwangeren Frauen sowie deren Neugeborenen.</w:t>
      </w:r>
    </w:p>
    <w:p>
      <w:r>
        <w:rPr>
          <w:b/>
        </w:rPr>
        <w:t xml:space="preserve">Ergebnis: </w:t>
      </w:r>
      <w:r>
        <w:t>Stadium 1 (n=66 nicht-schwanger): GBS6, GBS6+AlPO4 oder Placebo. Subgruppe erhielt Booster ~2 Jahre später. Stadium 3 (n=216 schwanger, 209 Neugeborene): GBS6 oder Placebo (Woche 24–36 Schwangerschaft). Fast alle Reaktogenizität-Ereignisse mild oder moderat. SAE/MAE ähnlich zwischen GBS6 und Placebo bei Müttern und Neugeborenen. GBS6 induzierte robuste Immunantworten; serotyp-spezifische Antikörper in Neugeborenen, deren Mütter GBS6 erhielten. Zwei neonatale Sepsis-Todesfälle (je einer in GBS6 und Placebo), keiner als vakzine-bedingt bewertet.</w:t>
      </w:r>
    </w:p>
    <w:p>
      <w:r>
        <w:rPr>
          <w:b/>
          <w:sz w:val="19"/>
        </w:rPr>
        <w:t xml:space="preserve">Übertragbarkeit: </w:t>
      </w:r>
      <w:r>
        <w:rPr>
          <w:sz w:val="19"/>
        </w:rPr>
        <w:t>Südafrika, USA, UK – erste klinische Daten zu maternaler GBS-Vakzination für neonatalen Schutz</w:t>
      </w:r>
    </w:p>
    <w:p>
      <w:r>
        <w:rPr>
          <w:color w:val="5A7D3A"/>
          <w:sz w:val="18"/>
        </w:rPr>
        <w:t>https://pubmed.ncbi.nlm.nih.gov/42521820/</w:t>
      </w:r>
    </w:p>
    <w:p>
      <w:pPr>
        <w:pStyle w:val="Heading2"/>
      </w:pPr>
      <w:r>
        <w:t>Hochdosis-Grippeimpfstoff in Spanien: Einführung, Anwendung und Evidenz</w:t>
      </w:r>
    </w:p>
    <w:p>
      <w:r>
        <w:rPr>
          <w:i/>
          <w:color w:val="666666"/>
          <w:sz w:val="18"/>
        </w:rPr>
        <w:t>Sanz-Muñoz I et al.  ·  Front Immunol  ·  30.06.2026  ·  PMID 42454050</w:t>
      </w:r>
    </w:p>
    <w:p>
      <w:r>
        <w:t>Narrative Synthese der klinischen Evidenz und Analyse von Vakzinierungsstrategien in spanischen autonomen Gemeinschaften seit Einführung von Hochdosis-Grippeimpfstoffen während der COVID-19-Pandemie.</w:t>
      </w:r>
    </w:p>
    <w:p>
      <w:r>
        <w:rPr>
          <w:b/>
        </w:rPr>
        <w:t xml:space="preserve">Ergebnis: </w:t>
      </w:r>
      <w:r>
        <w:t>Hochdosis-Grippeimpfstoffe zeigen überlegene Effektivität gegen schwere Influenza, Lungenentzündung und Mortalität bei Erwachsenen ≥60 Jahren in randomisierten Studien und Real-World-Daten. Heterogene regionale Aufnahme: manche Regionen priorisierten Institutionalisierte, andere erweiterten auf Community-Bewohner ≥60 Jahre. Trend zu breiter Adoption und Senkung des Altersgrenzwerts.</w:t>
      </w:r>
    </w:p>
    <w:p>
      <w:r>
        <w:rPr>
          <w:b/>
          <w:sz w:val="19"/>
        </w:rPr>
        <w:t xml:space="preserve">Übertragbarkeit: </w:t>
      </w:r>
      <w:r>
        <w:rPr>
          <w:sz w:val="19"/>
        </w:rPr>
        <w:t>Spanien, vergleichbare Gesundheitssysteme in Europa und Altersstruktur-Problematik</w:t>
      </w:r>
    </w:p>
    <w:p>
      <w:r>
        <w:rPr>
          <w:color w:val="5A7D3A"/>
          <w:sz w:val="18"/>
        </w:rPr>
        <w:t>https://pubmed.ncbi.nlm.nih.gov/42454050/</w:t>
      </w:r>
    </w:p>
    <w:p>
      <w:pPr>
        <w:pStyle w:val="Heading1"/>
      </w:pPr>
      <w:r>
        <w:t>Aufgenommen am 02.09.2026</w:t>
      </w:r>
    </w:p>
    <w:p>
      <w:pPr>
        <w:pStyle w:val="Heading2"/>
      </w:pPr>
      <w:r>
        <w:t>Grippeimpfstoff-Wirksamkeit gegen mild und schwer verlaufende Infektionen in Portugal</w:t>
      </w:r>
    </w:p>
    <w:p>
      <w:r>
        <w:rPr>
          <w:i/>
          <w:color w:val="666666"/>
          <w:sz w:val="18"/>
        </w:rPr>
        <w:t>Mourao F et al.  ·  Influenza Other Respir Viruses  ·  Sept. 2026  ·  PMID 42675936</w:t>
      </w:r>
    </w:p>
    <w:p>
      <w:r>
        <w:t>Testvergleichsstudie an 3.393 PCR-getesteten Patienten in Portugal (2015/16–2023/24) zur Grippeimpfstoff-Effektivität (IVE) gegen leichte und schwere Erkrankung.</w:t>
      </w:r>
    </w:p>
    <w:p>
      <w:r>
        <w:rPr>
          <w:b/>
        </w:rPr>
        <w:t xml:space="preserve">Ergebnis: </w:t>
      </w:r>
      <w:r>
        <w:t>IVE betrug 40,4 % (KI 22,7–54,0) bei ambulanten Patienten und 38,7 % (KI 17,6–54,5) bei hospitalisierten Fällen; Unterschied von 1,7 % war statistisch nicht signifikant (KI −22,0; 26,8). Keine relevanten Unterschiede in Subgruppen (≥65 Jahre, Komorbiditäten, Influenza-A-Subtypen). Impfstoff schützt über Versorgungssettings hinweg ähnlich gut.</w:t>
      </w:r>
    </w:p>
    <w:p>
      <w:r>
        <w:rPr>
          <w:b/>
          <w:sz w:val="19"/>
        </w:rPr>
        <w:t xml:space="preserve">Übertragbarkeit: </w:t>
      </w:r>
      <w:r>
        <w:rPr>
          <w:sz w:val="19"/>
        </w:rPr>
        <w:t>Portugal, EU-Nachbarland, Gesundheitssystem vergleichbar mit Deutschland</w:t>
      </w:r>
    </w:p>
    <w:p>
      <w:r>
        <w:rPr>
          <w:color w:val="5A7D3A"/>
          <w:sz w:val="18"/>
        </w:rPr>
        <w:t>https://pubmed.ncbi.nlm.nih.gov/42675936/</w:t>
      </w:r>
    </w:p>
    <w:p>
      <w:pPr>
        <w:pStyle w:val="Heading2"/>
      </w:pPr>
      <w:r>
        <w:t>HPV-Impfprogramme weltweit: Schulgebundenes Impfen erzielte höchste Quoten</w:t>
      </w:r>
    </w:p>
    <w:p>
      <w:r>
        <w:rPr>
          <w:i/>
          <w:color w:val="666666"/>
          <w:sz w:val="18"/>
        </w:rPr>
        <w:t>Kyei GK et al.  ·  J Nurs Scholarsh  ·  Sept. 2026  ·  PMID 42670010</w:t>
      </w:r>
    </w:p>
    <w:p>
      <w:r>
        <w:t>Qualitative Vergleichsanalyse von HPV-Impfrichtlinien in acht Ländern (Australien, Brasilien, Japan, Nigeria, Ruanda, Schweden, Großbritannien, USA) zur Identifikation von Einflussfaktoren auf Impfquoten.</w:t>
      </w:r>
    </w:p>
    <w:p>
      <w:r>
        <w:rPr>
          <w:b/>
        </w:rPr>
        <w:t xml:space="preserve">Ergebnis: </w:t>
      </w:r>
      <w:r>
        <w:t>Fünf Programmarchetypen identifiziert. Schulgebundene universelle Programme mit Pflegekräfte-Unterstützung erzielten höchste und gerechteste Abdeckung. Ruanda erreichte trotz Mädchen-fokussiertem, Donor-finanziertem Modell 98 % (Governance und Vertrauen überwogen Programmdesign). Transition zu Ein-Dosis-Impfung erfordert landesspezifische Anpassung.</w:t>
      </w:r>
    </w:p>
    <w:p>
      <w:r>
        <w:rPr>
          <w:b/>
          <w:sz w:val="19"/>
        </w:rPr>
        <w:t xml:space="preserve">Übertragbarkeit: </w:t>
      </w:r>
      <w:r>
        <w:rPr>
          <w:sz w:val="19"/>
        </w:rPr>
        <w:t>Programm-Vergleich, Strukturmerkmale übertragbar, insbesondere schulbasierte Systeme</w:t>
      </w:r>
    </w:p>
    <w:p>
      <w:r>
        <w:rPr>
          <w:color w:val="5A7D3A"/>
          <w:sz w:val="18"/>
        </w:rPr>
        <w:t>https://pubmed.ncbi.nlm.nih.gov/42670010/</w:t>
      </w:r>
    </w:p>
    <w:p>
      <w:pPr>
        <w:pStyle w:val="Heading2"/>
      </w:pPr>
      <w:r>
        <w:t>ChAdOx1 nCoV-19: Langzeitsicherheit bei 4.470 Probanden über 11,77 Monate</w:t>
      </w:r>
    </w:p>
    <w:p>
      <w:r>
        <w:rPr>
          <w:i/>
          <w:color w:val="666666"/>
          <w:sz w:val="18"/>
        </w:rPr>
        <w:t>Ebrahimi N et al.  ·  Vaccine  ·  13.08.2026  ·  PMID 42472497</w:t>
      </w:r>
    </w:p>
    <w:p>
      <w:r>
        <w:t>Prospektive Kohortenstudie von Probanden aus ChAdOx1-nCoV-19-Originalstudien mit follow-up September 2021–April 2022, Erfassung schwerwiegender unerwünschter Ereignisse (SAE) und Ereignisse von besonderem Interesse (AESI) nach Brighton-Collaboration-Definitionen.</w:t>
      </w:r>
    </w:p>
    <w:p>
      <w:r>
        <w:rPr>
          <w:b/>
        </w:rPr>
        <w:t xml:space="preserve">Ergebnis: </w:t>
      </w:r>
      <w:r>
        <w:t>4.470 Teilnehmer, 3.845 (86,0 %) Studienabschluss. Mediane Nachbeobachtung 11,77 Monate, 48.116 Personenmonate Gesamtnachbeobachtung. 174 SAE und 71 AESI (33 als beide registriert) bei 195 Teilnehmern, darunter 5 Todesfälle. Gesamtimmunglobulin-IgG gegen trimeres SARS-CoV-2-Spike-Protein zeigte Anstiegstendenz während Studie. Keine emergenten Sicherheitssignale; kontinuierliche Pharmakovigilanz bleibt essentiell, besonders für neurologische Störungen.</w:t>
      </w:r>
    </w:p>
    <w:p>
      <w:r>
        <w:rPr>
          <w:b/>
          <w:sz w:val="19"/>
        </w:rPr>
        <w:t xml:space="preserve">Übertragbarkeit: </w:t>
      </w:r>
      <w:r>
        <w:rPr>
          <w:sz w:val="19"/>
        </w:rPr>
        <w:t>Großbritannien, Oxford-Studie, NHS-basierte Kohortenverfolgung, vergleichbar mit deutschen Versorgungsdaten</w:t>
      </w:r>
    </w:p>
    <w:p>
      <w:r>
        <w:rPr>
          <w:color w:val="5A7D3A"/>
          <w:sz w:val="18"/>
        </w:rPr>
        <w:t>https://pubmed.ncbi.nlm.nih.gov/42472497/</w:t>
      </w:r>
    </w:p>
    <w:p>
      <w:pPr>
        <w:pStyle w:val="Heading2"/>
      </w:pPr>
      <w:r>
        <w:t>Hochdosis-Grippeimpfung für Senioren in Skandinavien: Kostenwirksamkeit und Nutzen</w:t>
      </w:r>
    </w:p>
    <w:p>
      <w:r>
        <w:rPr>
          <w:i/>
          <w:color w:val="666666"/>
          <w:sz w:val="18"/>
        </w:rPr>
        <w:t>Grootendorst A et al.  ·  Vaccine  ·  13.08.2026  ·  PMID 42468224</w:t>
      </w:r>
    </w:p>
    <w:p>
      <w:r>
        <w:t>Modellrechnung (Entscheidungsbaum-Influenza-Modell) für vier nordische Länder zum Vergleich nationaler Impfpolitik mit ausgeweitertem Hochdosis-Grippeimpfstoff-Programm für Erwachsene ≥65 Jahre.</w:t>
      </w:r>
    </w:p>
    <w:p>
      <w:r>
        <w:rPr>
          <w:b/>
        </w:rPr>
        <w:t xml:space="preserve">Ergebnis: </w:t>
      </w:r>
      <w:r>
        <w:t>Ausweitung auf alle ≥65-Jährigen würde in Schweden 13.929, Finnland 6.411, Norwegen 5.951 und Dänemark 2.438 symptomatische Fälle verhindern; entsprechend 1.615, 804, 762 bzw. 407 gewonnene Lebensjahre. Hospitalisierungen reduziert um 786, 362, 336 bzw. 138; Zusatzkosten €7,7 Mio (Schweden), €2,5 Mio (Finnland), €4,4 Mio (Norwegen), €2,4 Mio (Dänemark) – vertretbar im Verhältnis zur Gesamtausgaben.</w:t>
      </w:r>
    </w:p>
    <w:p>
      <w:r>
        <w:rPr>
          <w:b/>
          <w:sz w:val="19"/>
        </w:rPr>
        <w:t xml:space="preserve">Übertragbarkeit: </w:t>
      </w:r>
      <w:r>
        <w:rPr>
          <w:sz w:val="19"/>
        </w:rPr>
        <w:t>Skandinavien, Sozialversicherungssysteme vergleichbar mit Deutschland</w:t>
      </w:r>
    </w:p>
    <w:p>
      <w:r>
        <w:rPr>
          <w:color w:val="5A7D3A"/>
          <w:sz w:val="18"/>
        </w:rPr>
        <w:t>https://pubmed.ncbi.nlm.nih.gov/42468224/</w:t>
      </w:r>
    </w:p>
    <w:p>
      <w:pPr>
        <w:pStyle w:val="Heading2"/>
      </w:pPr>
      <w:r>
        <w:t>Bereitschaft zur Cholera-Impfung in sechs afrikanischen Ländern: Psychologische Faktoren und Krankheitsrisiko</w:t>
      </w:r>
    </w:p>
    <w:p>
      <w:r>
        <w:rPr>
          <w:i/>
          <w:color w:val="666666"/>
          <w:sz w:val="18"/>
        </w:rPr>
        <w:t>Geiger M et al.  ·  Vaccine  ·  13.08.2026  ·  PMID 42462676</w:t>
      </w:r>
    </w:p>
    <w:p>
      <w:r>
        <w:t>Querschnittsbefragung von 14.132 englischsprachigen Teilnehmern in Ghana, Kenia, Nigeria, Südafrika, Tansania und Uganda zur Impfbereitschaft gegen Cholera anhand des 7C-Modells (Vertrauen, Unachtsamkeit, Zwänge, Berechnung, kollektive Verantwortung, Einhaltung, Verschwörungsdenken).</w:t>
      </w:r>
    </w:p>
    <w:p>
      <w:r>
        <w:rPr>
          <w:b/>
        </w:rPr>
        <w:t xml:space="preserve">Ergebnis: </w:t>
      </w:r>
      <w:r>
        <w:t>Impfbereitschaft korrelierte stark mit selbstberichteter Cholera-Impfstatus (d = 0,32) und allgemeinem Impfstatus (r = 0,35). Persönliche Cholera-Erfahrung assoziiert mit höherer Bereitschaft (d = 0,14). Auf Länderebene: Durchschnittliche Bereitschaft korrelierte stark mit Cholera-Inzidenz letzte drei Jahre (ρ = 0,89) – höhere Bereitschaft in Ländern mit höherer Krankheitslast.</w:t>
      </w:r>
    </w:p>
    <w:p>
      <w:r>
        <w:rPr>
          <w:b/>
          <w:sz w:val="19"/>
        </w:rPr>
        <w:t xml:space="preserve">Übertragbarkeit: </w:t>
      </w:r>
      <w:r>
        <w:rPr>
          <w:sz w:val="19"/>
        </w:rPr>
        <w:t>Afrika, methodologische Erkenntnis zu Vaccine Hesitancy-Messung in Ländern mit niedrigem Impfniveau</w:t>
      </w:r>
    </w:p>
    <w:p>
      <w:r>
        <w:rPr>
          <w:color w:val="5A7D3A"/>
          <w:sz w:val="18"/>
        </w:rPr>
        <w:t>https://pubmed.ncbi.nlm.nih.gov/42462676/</w:t>
      </w:r>
    </w:p>
    <w:p>
      <w:pPr>
        <w:pStyle w:val="Heading2"/>
      </w:pPr>
      <w:r>
        <w:t>SARS-CoV-2-Impfung bei Stammzell-Transplantierten: Antikörperantwort vergleichbar mit Gesunden</w:t>
      </w:r>
    </w:p>
    <w:p>
      <w:r>
        <w:rPr>
          <w:i/>
          <w:color w:val="666666"/>
          <w:sz w:val="18"/>
        </w:rPr>
        <w:t>Maier CP et al.  ·  Front Immunol  ·  01.07.2026  ·  PMID 42459652</w:t>
      </w:r>
    </w:p>
    <w:p>
      <w:r>
        <w:t>Längsschnitt-Studie an 354 allogenen Stammzell-Transplantierten und 647 gesunden Kontrollen zu IgG-, IgM-, IgA-Antikörper-Kinetik gegen SARS-CoV-2-Antigene nach mRNA-, Vektor- und Protein-Impfstoff-Dosen.</w:t>
      </w:r>
    </w:p>
    <w:p>
      <w:r>
        <w:rPr>
          <w:b/>
        </w:rPr>
        <w:t xml:space="preserve">Ergebnis: </w:t>
      </w:r>
      <w:r>
        <w:t>Anti-Spike-IgG-Serokonversion: nach 1. Dosis 27 % (Patienten) vs. 28 % (Kontrollen), nach 2. Dosis 65 % vs. 59 %, nach 3. Dosis 93 % vs. 98 %. Nach drei Dosen keine signifikanten Unterschiede mehr zwischen Gruppen. IgM/IgA selten. Negative Prädiktoren nach 1. Dosis (Diagnose, kürzeres Intervall, niedrige Lymphozyten), nach 3. Dosis keine. Antikörperspiegel ≥6 Monate stabil. Durchbruchinfektionen mild.</w:t>
      </w:r>
    </w:p>
    <w:p>
      <w:r>
        <w:rPr>
          <w:b/>
          <w:sz w:val="19"/>
        </w:rPr>
        <w:t xml:space="preserve">Übertragbarkeit: </w:t>
      </w:r>
      <w:r>
        <w:rPr>
          <w:sz w:val="19"/>
        </w:rPr>
        <w:t>Deutschland, deutschsprachige Autoren (Tübingen), Transplantationszentren vergleichbar</w:t>
      </w:r>
    </w:p>
    <w:p>
      <w:r>
        <w:rPr>
          <w:color w:val="5A7D3A"/>
          <w:sz w:val="18"/>
        </w:rPr>
        <w:t>https://pubmed.ncbi.nlm.nih.gov/42459652/</w:t>
      </w:r>
    </w:p>
    <w:p>
      <w:pPr>
        <w:pStyle w:val="Heading1"/>
      </w:pPr>
      <w:r>
        <w:t>Aufgenommen am 01.09.2026</w:t>
      </w:r>
    </w:p>
    <w:p>
      <w:pPr>
        <w:pStyle w:val="Heading2"/>
      </w:pPr>
      <w:r>
        <w:t>Neue mRNA-Impfstoffe gegen COVID-19 in Phase 2: Sicherheit und Immunogenität</w:t>
      </w:r>
    </w:p>
    <w:p>
      <w:r>
        <w:rPr>
          <w:i/>
          <w:color w:val="666666"/>
          <w:sz w:val="18"/>
        </w:rPr>
        <w:t>Wong R et al.  ·  Hum Vaccin Immunother  ·  26.08.2026  ·  PMID 42647564</w:t>
      </w:r>
    </w:p>
    <w:p>
      <w:r>
        <w:t>Phase-2-Studie mit 425 vorgeimpften Erwachsenen in Australien: Vergleich experimenteller bivalenter und monovalenter mRNA-Impfstoffe mit lizenziertem Wuhan/BA.4-5-Impfstoff.</w:t>
      </w:r>
    </w:p>
    <w:p>
      <w:r>
        <w:rPr>
          <w:b/>
        </w:rPr>
        <w:t xml:space="preserve">Ergebnis: </w:t>
      </w:r>
      <w:r>
        <w:t>Überwiegend milde bis moderate Lokalreaktionen. Keine impfstoffbedingten schwerwiegenden Nebenwirkungen oder Myokarditis/Perikarditis. CV0701-Impfstoff (bivalent) zeigte dosisabhängige Neutralisationsantikörper-Anstiege gegen ancestrales D614G und Omicron BA.4-5. CD4+- und CD8+-T-Zell-Antworten in allen Gruppen außer niedrigster CV0701-Dosis.</w:t>
      </w:r>
    </w:p>
    <w:p>
      <w:r>
        <w:rPr>
          <w:b/>
          <w:sz w:val="19"/>
        </w:rPr>
        <w:t xml:space="preserve">Übertragbarkeit: </w:t>
      </w:r>
      <w:r>
        <w:rPr>
          <w:sz w:val="19"/>
        </w:rPr>
        <w:t>Australisches Studienzentrum, Phase 2; Sicherheitsprofil übertragbar, Immunogenität Laborbiomarker.</w:t>
      </w:r>
    </w:p>
    <w:p>
      <w:r>
        <w:rPr>
          <w:color w:val="5A7D3A"/>
          <w:sz w:val="18"/>
        </w:rPr>
        <w:t>https://pubmed.ncbi.nlm.nih.gov/42647564/</w:t>
      </w:r>
    </w:p>
    <w:p>
      <w:pPr>
        <w:pStyle w:val="Heading2"/>
      </w:pPr>
      <w:r>
        <w:t>Pertussis-Impfschutz in Schweden durch Durchbruchinfektionen gefährdet</w:t>
      </w:r>
    </w:p>
    <w:p>
      <w:r>
        <w:rPr>
          <w:i/>
          <w:color w:val="666666"/>
          <w:sz w:val="18"/>
        </w:rPr>
        <w:t>Brett TS et al.  ·  PLoS Comput Biol  ·  04.08.2026  ·  PMID 42550879</w:t>
      </w:r>
    </w:p>
    <w:p>
      <w:r>
        <w:t>Mathematisches Modell der Pertussis-Dynamik in Schweden mit empirischen Meldedaten: Kombination aus leaky DTaP-Immunität, Impfstoffschutz-Abnahme und erhöhter Datenerfassung seit 2014.</w:t>
      </w:r>
    </w:p>
    <w:p>
      <w:r>
        <w:rPr>
          <w:b/>
        </w:rPr>
        <w:t xml:space="preserve">Ergebnis: </w:t>
      </w:r>
      <w:r>
        <w:t>Die DTaP-Impfung verhindert etwa 50% der Infektionen bei ungeimpften Neugeborenen (indirekter Schutz). Pertussis-Elimination ist mit azellulärem Impfstoff nicht möglich wegen Impfstoff-Durchlässigkeit und Immunitätsverlust. Der Anstieg der Fallmeldungen ab 2014 wird nicht allein durch echte Infektionszunahme erklärt, sondern auch durch verbesserte Labortestung.</w:t>
      </w:r>
    </w:p>
    <w:p>
      <w:r>
        <w:rPr>
          <w:b/>
          <w:sz w:val="19"/>
        </w:rPr>
        <w:t xml:space="preserve">Übertragbarkeit: </w:t>
      </w:r>
      <w:r>
        <w:rPr>
          <w:sz w:val="19"/>
        </w:rPr>
        <w:t>Schweden mit detailliertem Surveillance-System; Befund auf Deutschland übertragbar.</w:t>
      </w:r>
    </w:p>
    <w:p>
      <w:r>
        <w:rPr>
          <w:color w:val="5A7D3A"/>
          <w:sz w:val="18"/>
        </w:rPr>
        <w:t>https://pubmed.ncbi.nlm.nih.gov/42550879/</w:t>
      </w:r>
    </w:p>
    <w:p>
      <w:pPr>
        <w:pStyle w:val="Heading2"/>
      </w:pPr>
      <w:r>
        <w:t>Zoster-Impfstoff während Krebstherapie: Umsetzbarkeit und Sicherheit</w:t>
      </w:r>
    </w:p>
    <w:p>
      <w:r>
        <w:rPr>
          <w:i/>
          <w:color w:val="666666"/>
          <w:sz w:val="18"/>
        </w:rPr>
        <w:t>Ciappina G et al.  ·  Hum Vaccin Immunother  ·  30.07.2026  ·  PMID 42529910</w:t>
      </w:r>
    </w:p>
    <w:p>
      <w:r>
        <w:t>Retrospektive Kohorte von 42 Krebspatienten unter systemischer Therapie, denen rekombinanter Zoster-Impfstoff (RZV) angeboten wurde; zwei Dosen im Standard-Abstand.</w:t>
      </w:r>
    </w:p>
    <w:p>
      <w:r>
        <w:rPr>
          <w:b/>
        </w:rPr>
        <w:t xml:space="preserve">Ergebnis: </w:t>
      </w:r>
      <w:r>
        <w:t>37 von 42 (88,1%) vollendeten beide Dosen. Verträglichkeit günstig: Injektionsstellen-Schmerz am häufigsten, Systembeschwerden mild und vorübergehend. Keine schweren impfbezogenen Ereignisse, keine Behandlungsverzögerungen. Nach Median 11,5 Monaten kein dokumentiertes Herpes zoster (aber kleine Fallzahl).</w:t>
      </w:r>
    </w:p>
    <w:p>
      <w:r>
        <w:rPr>
          <w:b/>
          <w:sz w:val="19"/>
        </w:rPr>
        <w:t xml:space="preserve">Übertragbarkeit: </w:t>
      </w:r>
      <w:r>
        <w:rPr>
          <w:sz w:val="19"/>
        </w:rPr>
        <w:t>Einzelnes italienisches Zentrum; Machbarkeitsbefund für Impfen unter Immunsuppression relevant.</w:t>
      </w:r>
    </w:p>
    <w:p>
      <w:r>
        <w:rPr>
          <w:color w:val="5A7D3A"/>
          <w:sz w:val="18"/>
        </w:rPr>
        <w:t>https://pubmed.ncbi.nlm.nih.gov/42529910/</w:t>
      </w:r>
    </w:p>
    <w:p>
      <w:pPr>
        <w:pStyle w:val="Heading2"/>
      </w:pPr>
      <w:r>
        <w:t>HPV-Impfbereitschaft bei ländlichen Eltern: Barrieren und Anreize in Äthiopien</w:t>
      </w:r>
    </w:p>
    <w:p>
      <w:r>
        <w:rPr>
          <w:i/>
          <w:color w:val="666666"/>
          <w:sz w:val="18"/>
        </w:rPr>
        <w:t>Zenebe S et al.  ·  PLoS One  ·  22.07.2026  ·  PMID 42485289</w:t>
      </w:r>
    </w:p>
    <w:p>
      <w:r>
        <w:t>Qualitative Studie zu Faktoren der HPV-Impf-Akzeptanz bei Eltern von Mädchen im ländlichen Südäthiopien mittels Fokusgruppen und Einzelinterviews.</w:t>
      </w:r>
    </w:p>
    <w:p>
      <w:r>
        <w:rPr>
          <w:b/>
        </w:rPr>
        <w:t xml:space="preserve">Ergebnis: </w:t>
      </w:r>
      <w:r>
        <w:t>Befürworter: Krebsprävention, elterliche Verantwortung, Vertrauen in Fachkräfte-Empfehlungen. Barrieren: Mangelndes Wissen, fehlende zuverlässige Informationsquellen, Impfskepsis, Angst vor Nebenwirkungen, kulturelle und religiöse Faktoren. Hauptempfehlung: Behörden und Institutionen müssen zusammen gegen erkannte Barrieren vorgehen.</w:t>
      </w:r>
    </w:p>
    <w:p>
      <w:r>
        <w:rPr>
          <w:b/>
          <w:sz w:val="19"/>
        </w:rPr>
        <w:t xml:space="preserve">Übertragbarkeit: </w:t>
      </w:r>
      <w:r>
        <w:rPr>
          <w:sz w:val="19"/>
        </w:rPr>
        <w:t>Äthiopien-Setting; Befunde zu Vertrauensfaktoren und Wissensdefiziten weltweit relevant.</w:t>
      </w:r>
    </w:p>
    <w:p>
      <w:r>
        <w:rPr>
          <w:color w:val="5A7D3A"/>
          <w:sz w:val="18"/>
        </w:rPr>
        <w:t>https://pubmed.ncbi.nlm.nih.gov/42485289/</w:t>
      </w:r>
    </w:p>
    <w:p>
      <w:pPr>
        <w:pStyle w:val="Heading2"/>
      </w:pPr>
      <w:r>
        <w:t>CAR-T-Zelltherapie für Autoimmunerkrankungen: Stand und Perspektiven</w:t>
      </w:r>
    </w:p>
    <w:p>
      <w:r>
        <w:rPr>
          <w:i/>
          <w:color w:val="666666"/>
          <w:sz w:val="18"/>
        </w:rPr>
        <w:t>Bachl J et al.  ·  PLoS Med  ·  20.07.2026  ·  PMID 42475287</w:t>
      </w:r>
    </w:p>
    <w:p>
      <w:r>
        <w:t>Überblickartikel zu CAR-T-Zellen (chimäre Antigen-Rezeptoren) in der Behandlung von Autoimmunerkrankungen: bisherige Erfolge und offene Fragen.</w:t>
      </w:r>
    </w:p>
    <w:p>
      <w:r>
        <w:rPr>
          <w:b/>
        </w:rPr>
        <w:t xml:space="preserve">Ergebnis: </w:t>
      </w:r>
      <w:r>
        <w:t>CAR-T-Therapien haben Potenzial, dysfunktionale Immunsysteme zurückzusetzen. Neueste technologische Entwicklungen ermöglichen Hoffnung für Patienten mit therapierefraktären Autoimmunerkrankungen. Zahlreiche Herausforderungen bleiben, insgesamt wird die transformative Wirkung dieser Zelltherapien für künftige Patienten angedeutet.</w:t>
      </w:r>
    </w:p>
    <w:p>
      <w:r>
        <w:rPr>
          <w:b/>
          <w:sz w:val="19"/>
        </w:rPr>
        <w:t xml:space="preserve">Übertragbarkeit: </w:t>
      </w:r>
      <w:r>
        <w:rPr>
          <w:sz w:val="19"/>
        </w:rPr>
        <w:t>Überblick ohne primäre Daten; nicht primär impfpräventiv, sondern therapeutisch.</w:t>
      </w:r>
    </w:p>
    <w:p>
      <w:r>
        <w:rPr>
          <w:color w:val="5A7D3A"/>
          <w:sz w:val="18"/>
        </w:rPr>
        <w:t>https://pubmed.ncbi.nlm.nih.gov/42475287/</w:t>
      </w:r>
    </w:p>
    <w:p>
      <w:pPr>
        <w:pStyle w:val="Heading2"/>
      </w:pPr>
      <w:r>
        <w:t>Pentavalent-Impflücke verursachte Diphtherie-Ausbruch in Nigeria</w:t>
      </w:r>
    </w:p>
    <w:p>
      <w:r>
        <w:rPr>
          <w:i/>
          <w:color w:val="666666"/>
          <w:sz w:val="18"/>
        </w:rPr>
        <w:t>Okhuarobo UJ et al.  ·  Pan Afr Med J  ·  10.03.2026  ·  PMID 42465825</w:t>
      </w:r>
    </w:p>
    <w:p>
      <w:r>
        <w:t>Fall-Kontroll-Studie zu Diphtherie-Ausbruch in Kafanchan, Nigeria (Juli-Oktober 2023): Exposition, Kontakte und Impfstatus.</w:t>
      </w:r>
    </w:p>
    <w:p>
      <w:r>
        <w:rPr>
          <w:b/>
        </w:rPr>
        <w:t xml:space="preserve">Ergebnis: </w:t>
      </w:r>
      <w:r>
        <w:t>91 Fälle, medianes Alter 7 Jahre, Fallsterblichkeit 23%. Pentavalent-Impfung: protektiv (aOR 0,39, 95%-KI 0,20–0,77). Kontakt mit respiratorischen Symptomen: OR 37,2 (KI 16,8–82,6). 25% hatten nie Pentavalent erhalten, Grund: Unwissenheit über Nutzen. Verbesserung durch Risikokommunikation und gestärkte Routine-Impfung.</w:t>
      </w:r>
    </w:p>
    <w:p>
      <w:r>
        <w:rPr>
          <w:b/>
          <w:sz w:val="19"/>
        </w:rPr>
        <w:t xml:space="preserve">Übertragbarkeit: </w:t>
      </w:r>
      <w:r>
        <w:rPr>
          <w:sz w:val="19"/>
        </w:rPr>
        <w:t>Nigeria-Daten; Mechanism-Befund (Lücken-Ausbruch) global übertragbar.</w:t>
      </w:r>
    </w:p>
    <w:p>
      <w:r>
        <w:rPr>
          <w:color w:val="5A7D3A"/>
          <w:sz w:val="18"/>
        </w:rPr>
        <w:t>https://pubmed.ncbi.nlm.nih.gov/42465825/</w:t>
      </w:r>
    </w:p>
    <w:p>
      <w:pPr>
        <w:pStyle w:val="Heading1"/>
      </w:pPr>
      <w:r>
        <w:t>Aufgenommen am 31.08.2026</w:t>
      </w:r>
    </w:p>
    <w:p>
      <w:pPr>
        <w:pStyle w:val="Heading2"/>
      </w:pPr>
      <w:r>
        <w:t>Langzeitimmunität nach Hepatitis-B-Impfung bei Menschen mit HIV: 8,5-Jahr-Verlauf in China</w:t>
      </w:r>
    </w:p>
    <w:p>
      <w:r>
        <w:rPr>
          <w:i/>
          <w:color w:val="666666"/>
          <w:sz w:val="18"/>
        </w:rPr>
        <w:t>Yang H et al.  ·  Front Public Health  ·  14.08.2026  ·  PMID 42666258</w:t>
      </w:r>
    </w:p>
    <w:p>
      <w:r>
        <w:t>Retrospektive Kohortenstudie mit 195 HIV-positiven Personen ohne anti-HBs-Schutz, die Heplisav-B erhielten, mit Langzeitfollow-up 1,5-8,5 Jahre.</w:t>
      </w:r>
    </w:p>
    <w:p>
      <w:r>
        <w:rPr>
          <w:b/>
        </w:rPr>
        <w:t xml:space="preserve">Ergebnis: </w:t>
      </w:r>
      <w:r>
        <w:t>Nach 3-4 Dosen initial 98% und 85% Responserate (vs. 77-79% nach 1-2 Dosen). Nach 8,5 Jahren: 83% (3 Dosen) und 88% (4 Dosen) zeigten anhaltende Antikörper &gt;100 IU/mL. Unabhängige Korrelaten: Dosenzahl und frühes serologisches Ansprechen.</w:t>
      </w:r>
    </w:p>
    <w:p>
      <w:r>
        <w:rPr>
          <w:b/>
          <w:sz w:val="19"/>
        </w:rPr>
        <w:t xml:space="preserve">Übertragbarkeit: </w:t>
      </w:r>
      <w:r>
        <w:rPr>
          <w:sz w:val="19"/>
        </w:rPr>
        <w:t>China, aber Heplisav-B weltweit, zeigt optimale Impfschemata für immungeschwächte Personen</w:t>
      </w:r>
    </w:p>
    <w:p>
      <w:r>
        <w:rPr>
          <w:color w:val="5A7D3A"/>
          <w:sz w:val="18"/>
        </w:rPr>
        <w:t>https://pubmed.ncbi.nlm.nih.gov/42666258/</w:t>
      </w:r>
    </w:p>
    <w:p>
      <w:pPr>
        <w:pStyle w:val="Heading2"/>
      </w:pPr>
      <w:r>
        <w:t>Sozioökonomische Ungleichheiten bei COVID-19-Impfung nigerianischer Frauen</w:t>
      </w:r>
    </w:p>
    <w:p>
      <w:r>
        <w:rPr>
          <w:i/>
          <w:color w:val="666666"/>
          <w:sz w:val="18"/>
        </w:rPr>
        <w:t>Ekholuenetale M  ·  PLoS One  ·  28.08.2026  ·  PMID 42664197</w:t>
      </w:r>
    </w:p>
    <w:p>
      <w:r>
        <w:t>Querschnittsanalyse mit 36.555 Frauen aus Nigeria-Bevölkerungsumfrage 2024 zur Zerlegung sozioökonomischer Disparitäten bei Impfquoten.</w:t>
      </w:r>
    </w:p>
    <w:p>
      <w:r>
        <w:rPr>
          <w:b/>
        </w:rPr>
        <w:t xml:space="preserve">Ergebnis: </w:t>
      </w:r>
      <w:r>
        <w:t>Impfquote bei am wenigsten benachteiligten Frauen 31,6%, bei am stärksten benachteiligten 19,2%. Positive Einflussfaktoren: höhere Bildung, Medienpräsenz, Krankenversicherung, Alter ≥30 Jahre, südliche Regionen. Bildung, Medienexposition und Versicherung trugen am stärksten zu Disparitäten bei.</w:t>
      </w:r>
    </w:p>
    <w:p>
      <w:r>
        <w:rPr>
          <w:b/>
          <w:sz w:val="19"/>
        </w:rPr>
        <w:t xml:space="preserve">Übertragbarkeit: </w:t>
      </w:r>
      <w:r>
        <w:rPr>
          <w:sz w:val="19"/>
        </w:rPr>
        <w:t>Nigeria, aber Ungleichheitsmuster zeigen universelle Zugangsbarrieren</w:t>
      </w:r>
    </w:p>
    <w:p>
      <w:r>
        <w:rPr>
          <w:color w:val="5A7D3A"/>
          <w:sz w:val="18"/>
        </w:rPr>
        <w:t>https://pubmed.ncbi.nlm.nih.gov/42664197/</w:t>
      </w:r>
    </w:p>
    <w:p>
      <w:pPr>
        <w:pStyle w:val="Heading2"/>
      </w:pPr>
      <w:r>
        <w:t>COVID-19-Impfquote bei Gemeindeimpfterminen: Dauer, Wochentag und Partnerschaft steigern Reichweite</w:t>
      </w:r>
    </w:p>
    <w:p>
      <w:r>
        <w:rPr>
          <w:i/>
          <w:color w:val="666666"/>
          <w:sz w:val="18"/>
        </w:rPr>
        <w:t>Shakib SH et al.  ·  Viruses  ·  11.08.2026  ·  PMID 42655698</w:t>
      </w:r>
    </w:p>
    <w:p>
      <w:r>
        <w:t>Retrospektive Analyse von 631 Impfterminen (27.767 Dosen) in Kentucky 2021-2022 zu Assoziationen zwischen Veranstaltungsmerkmalen und verabreichten Dosen pro Termin.</w:t>
      </w:r>
    </w:p>
    <w:p>
      <w:r>
        <w:rPr>
          <w:b/>
        </w:rPr>
        <w:t xml:space="preserve">Ergebnis: </w:t>
      </w:r>
      <w:r>
        <w:t>Jede zusätzliche Stunde Veranstaltungsdauer: +21,6% Dosen pro Termin. Wochenendtermine: +87,8% gegenüber Wochentagen. Nicht-regierungsorganisationen: +44,7%; Unternehmen: +110%; medizinische Anbieter: +57,8% gegenüber Government-Terminen. Nur-LMPHW-Termine (ohne Partner): +198,4%.</w:t>
      </w:r>
    </w:p>
    <w:p>
      <w:r>
        <w:rPr>
          <w:b/>
          <w:sz w:val="19"/>
        </w:rPr>
        <w:t xml:space="preserve">Übertragbarkeit: </w:t>
      </w:r>
      <w:r>
        <w:rPr>
          <w:sz w:val="19"/>
        </w:rPr>
        <w:t>USA, aber Zugangsoptimierungen übertragbar auf deutsche Impfstellen</w:t>
      </w:r>
    </w:p>
    <w:p>
      <w:r>
        <w:rPr>
          <w:color w:val="5A7D3A"/>
          <w:sz w:val="18"/>
        </w:rPr>
        <w:t>https://pubmed.ncbi.nlm.nih.gov/42655698/</w:t>
      </w:r>
    </w:p>
    <w:p>
      <w:pPr>
        <w:pStyle w:val="Heading2"/>
      </w:pPr>
      <w:r>
        <w:t>Mütterlicherve RSV-Impfung: Akzeptanz und Kommunikationspräferenzen schwangerer Frauen in England</w:t>
      </w:r>
    </w:p>
    <w:p>
      <w:r>
        <w:rPr>
          <w:i/>
          <w:color w:val="666666"/>
          <w:sz w:val="18"/>
        </w:rPr>
        <w:t>Bell S et al.  ·  Vaccine  ·  13.08.2026  ·  PMID 42497669</w:t>
      </w:r>
    </w:p>
    <w:p>
      <w:r>
        <w:t>Qualitative Studie mit 30 Müttern in England zu Wahrnehmungen der maternalen RSV-Impfung ab 28 Schwangerschaftswochen.</w:t>
      </w:r>
    </w:p>
    <w:p>
      <w:r>
        <w:rPr>
          <w:b/>
        </w:rPr>
        <w:t xml:space="preserve">Ergebnis: </w:t>
      </w:r>
      <w:r>
        <w:t>Hohe Impfbereitschaft, aber Wissenslücken zu RSV-Schweregrad. Mütter bevorzugen Informationen online, schriftlich und durch Hebammen; 84% wollen Impfung in Antenatalbetreuung (nicht separate Praxistermine).</w:t>
      </w:r>
    </w:p>
    <w:p>
      <w:r>
        <w:rPr>
          <w:b/>
          <w:sz w:val="19"/>
        </w:rPr>
        <w:t xml:space="preserve">Übertragbarkeit: </w:t>
      </w:r>
      <w:r>
        <w:rPr>
          <w:sz w:val="19"/>
        </w:rPr>
        <w:t>Großbritannien, vergleichbares Versorgungssystem, neue Impfempfehlung, übertragbare Zugangsoptimierung</w:t>
      </w:r>
    </w:p>
    <w:p>
      <w:r>
        <w:rPr>
          <w:color w:val="5A7D3A"/>
          <w:sz w:val="18"/>
        </w:rPr>
        <w:t>https://pubmed.ncbi.nlm.nih.gov/42497669/</w:t>
      </w:r>
    </w:p>
    <w:p>
      <w:pPr>
        <w:pStyle w:val="Heading2"/>
      </w:pPr>
      <w:r>
        <w:t>Nutzen-Kosten-Analyse: Atemwegsimpfung bei Erwachsenen ≥65 Jahren in Frankreich</w:t>
      </w:r>
    </w:p>
    <w:p>
      <w:r>
        <w:rPr>
          <w:i/>
          <w:color w:val="666666"/>
          <w:sz w:val="18"/>
        </w:rPr>
        <w:t>Napier M et al.  ·  Expert Rev Vaccines  ·  22.07.2026  ·  PMID 42484014</w:t>
      </w:r>
    </w:p>
    <w:p>
      <w:r>
        <w:t>Ökonomische Analyse zur Rentabilität von Pneumokokken-, RSV-, Influenza- und COVID-19-Impfungen bei älteren Franzosen.</w:t>
      </w:r>
    </w:p>
    <w:p>
      <w:r>
        <w:rPr>
          <w:b/>
        </w:rPr>
        <w:t xml:space="preserve">Ergebnis: </w:t>
      </w:r>
      <w:r>
        <w:t>Nutzen-Kosten-Verhältnis 2,0-8,7€ pro 1€ Ausgaben über Lebenszeit. RSV-Impfung würde Nettonutzen um 6-7% erhöhen. Erreichung ehrgeiziger Impfquoten (z.B. auf 90%) würde Nutzen um 138-175% steigern.</w:t>
      </w:r>
    </w:p>
    <w:p>
      <w:r>
        <w:rPr>
          <w:b/>
          <w:sz w:val="19"/>
        </w:rPr>
        <w:t xml:space="preserve">Übertragbarkeit: </w:t>
      </w:r>
      <w:r>
        <w:rPr>
          <w:sz w:val="19"/>
        </w:rPr>
        <w:t>Frankreich, vergleichbares System, zeigt Wirtschaftlichkeit höherer Quoten</w:t>
      </w:r>
    </w:p>
    <w:p>
      <w:r>
        <w:rPr>
          <w:color w:val="5A7D3A"/>
          <w:sz w:val="18"/>
        </w:rPr>
        <w:t>https://pubmed.ncbi.nlm.nih.gov/42484014/</w:t>
      </w:r>
    </w:p>
    <w:p>
      <w:pPr>
        <w:pStyle w:val="Heading2"/>
      </w:pPr>
      <w:r>
        <w:t>Tdap-Impfzeitpunkt in der Schwangerschaft: Antikörperresponse und Plazentaweitergabe</w:t>
      </w:r>
    </w:p>
    <w:p>
      <w:r>
        <w:rPr>
          <w:i/>
          <w:color w:val="666666"/>
          <w:sz w:val="18"/>
        </w:rPr>
        <w:t>De Weerdt L et al.  ·  Vaccine  ·  13.08.2026  ·  PMID 42472495</w:t>
      </w:r>
    </w:p>
    <w:p>
      <w:r>
        <w:t>Prospektive Studie mit 96 schwangeren Frauen in Belgien zur Charakterisierung der Auswirkung des Impfzeitpunkts (16.-32. Woche) auf maternale und neonatale Antikörperprofile.</w:t>
      </w:r>
    </w:p>
    <w:p>
      <w:r>
        <w:rPr>
          <w:b/>
        </w:rPr>
        <w:t xml:space="preserve">Ergebnis: </w:t>
      </w:r>
      <w:r>
        <w:t>Maternale IgG und IgG1 gegen Pertussis, Diphtherie, Tetanus bei späteren Impfungen höher; neonatale Profile vergleichbar. IgG-Transferquoten sanken mit fortgeschrittenerem Gestationsalter, funktionelle Antikörperübertragung kaum beeinflusst.</w:t>
      </w:r>
    </w:p>
    <w:p>
      <w:r>
        <w:rPr>
          <w:b/>
          <w:sz w:val="19"/>
        </w:rPr>
        <w:t xml:space="preserve">Übertragbarkeit: </w:t>
      </w:r>
      <w:r>
        <w:rPr>
          <w:sz w:val="19"/>
        </w:rPr>
        <w:t>Belgien, vergleichbares Versicherungssystem, bestätigt Empfehlung 16.-32. Wochen</w:t>
      </w:r>
    </w:p>
    <w:p>
      <w:r>
        <w:rPr>
          <w:color w:val="5A7D3A"/>
          <w:sz w:val="18"/>
        </w:rPr>
        <w:t>https://pubmed.ncbi.nlm.nih.gov/42472495/</w:t>
      </w:r>
    </w:p>
    <w:p>
      <w:pPr>
        <w:pStyle w:val="Heading1"/>
      </w:pPr>
      <w:r>
        <w:t>Aufgenommen am 30.08.2026</w:t>
      </w:r>
    </w:p>
    <w:p>
      <w:pPr>
        <w:pStyle w:val="Heading2"/>
      </w:pPr>
      <w:r>
        <w:t>Rapid strain-matched Influenza-Impfung hätte 28.000 Todesfälle in UK-ähnlicher Pandemie verhindert</w:t>
      </w:r>
    </w:p>
    <w:p>
      <w:r>
        <w:rPr>
          <w:i/>
          <w:color w:val="666666"/>
          <w:sz w:val="18"/>
        </w:rPr>
        <w:t>Lovick S et al.  ·  Hum Vaccin Immunother  ·  28.08.2026  ·  PMID 42663142</w:t>
      </w:r>
    </w:p>
    <w:p>
      <w:r>
        <w:t>Dynamisches SEIR-Transmissionsmodell für UK-ähnliche Bevölkerung zur Bewertung Morbidität, Mortalität und Kosten einer frühen zellbasierten vs. eibasierten Pandemie-Impfstoff-Kampagne mit/ohne Maßnahmen.</w:t>
      </w:r>
    </w:p>
    <w:p>
      <w:r>
        <w:rPr>
          <w:b/>
        </w:rPr>
        <w:t xml:space="preserve">Ergebnis: </w:t>
      </w:r>
      <w:r>
        <w:t>16-wöchige Impfkampagne ab 16 Wochen nach Pandemie-Erklärung (ohne Maßnahmen) reduzierte Infektionen um 3,0 Millionen und Todesfälle um 28.000, mit größerem Nutzen in Low-Transmissibility-Szenarien. Zellbasierter Impfstoff reduzierte Todesfälle zusätzlich um 5,0%. Maßnahmen (Durchschnittskosten £208 Mrd.) verbesserten Impfeffektivität, zellbasierter Impfstoff zusätzlich um 0,9%. Verzögerungen erhöhten Mortalität und wirtschaftliche Kosten.</w:t>
      </w:r>
    </w:p>
    <w:p>
      <w:r>
        <w:rPr>
          <w:b/>
          <w:sz w:val="19"/>
        </w:rPr>
        <w:t xml:space="preserve">Übertragbarkeit: </w:t>
      </w:r>
      <w:r>
        <w:rPr>
          <w:sz w:val="19"/>
        </w:rPr>
        <w:t>UK-ähnliche Gesundheitssysteme, Modellierung ohne spezifische nationale Daten.</w:t>
      </w:r>
    </w:p>
    <w:p>
      <w:r>
        <w:rPr>
          <w:color w:val="5A7D3A"/>
          <w:sz w:val="18"/>
        </w:rPr>
        <w:t>https://pubmed.ncbi.nlm.nih.gov/42663142/</w:t>
      </w:r>
    </w:p>
    <w:p>
      <w:pPr>
        <w:pStyle w:val="Heading2"/>
      </w:pPr>
      <w:r>
        <w:t>Vertraute Quellen statt digitale Botschaften: Was COVID-19-Skepsis bei Schwarzen schwangeren Frauen senkt</w:t>
      </w:r>
    </w:p>
    <w:p>
      <w:r>
        <w:rPr>
          <w:i/>
          <w:color w:val="666666"/>
          <w:sz w:val="18"/>
        </w:rPr>
        <w:t>Cox E et al.  ·  Front Public Health  ·  12.08.2026  ·  PMID 42656594</w:t>
      </w:r>
    </w:p>
    <w:p>
      <w:r>
        <w:t>Qualitative Studie mit Interviews und Fokusgruppen bei 30 Schwarzen schwangeren und postpartalen Frauen in den USA zum Einfluss von sozialen Medien-Anzeigen auf Impfbereitschaft.</w:t>
      </w:r>
    </w:p>
    <w:p>
      <w:r>
        <w:rPr>
          <w:b/>
        </w:rPr>
        <w:t xml:space="preserve">Ergebnis: </w:t>
      </w:r>
      <w:r>
        <w:t>Geimpfte, religiöse, politisch konservative und verheiratete Frauen zeigten höhere Bereitschaft nach den Anzeigen. Kein einzelnes Messenger-Format oder Inhaltstyp war überlegen. Qualitativ zentral: Vertrauen in sich selbst, Familie, Doulas und Glaubensführer; Misstrauen gegen Staat und Gesundheitssystem sowie medizinischen Rassismus. Persönliches Zeugnis von vertrauten Quellen könnte Akzeptanz stärken.</w:t>
      </w:r>
    </w:p>
    <w:p>
      <w:r>
        <w:rPr>
          <w:b/>
          <w:sz w:val="19"/>
        </w:rPr>
        <w:t xml:space="preserve">Übertragbarkeit: </w:t>
      </w:r>
      <w:r>
        <w:rPr>
          <w:sz w:val="19"/>
        </w:rPr>
        <w:t>USA, spezifische Herausforderung für Minderheiten-Vertrauen in Gesundheitssystem.</w:t>
      </w:r>
    </w:p>
    <w:p>
      <w:r>
        <w:rPr>
          <w:color w:val="5A7D3A"/>
          <w:sz w:val="18"/>
        </w:rPr>
        <w:t>https://pubmed.ncbi.nlm.nih.gov/42656594/</w:t>
      </w:r>
    </w:p>
    <w:p>
      <w:pPr>
        <w:pStyle w:val="Heading2"/>
      </w:pPr>
      <w:r>
        <w:t>HPV-geimpfte Jugendliche nutzen Kondome häufiger und kennen mehr über Geschlechtskrankheiten</w:t>
      </w:r>
    </w:p>
    <w:p>
      <w:r>
        <w:rPr>
          <w:i/>
          <w:color w:val="666666"/>
          <w:sz w:val="18"/>
        </w:rPr>
        <w:t>Christensen LD et al.  ·  Dan Med J  ·  09.06.2026  ·  PMID 42592763</w:t>
      </w:r>
    </w:p>
    <w:p>
      <w:r>
        <w:t>Querschnittstudie bei 866 von 1.254 neunten Schulklassen-Schülern (69%) in Dänemark 2020–2024 zu HPV-Impfstatus und Wissen über sexuell übertragbare Infektionen.</w:t>
      </w:r>
    </w:p>
    <w:p>
      <w:r>
        <w:rPr>
          <w:b/>
        </w:rPr>
        <w:t xml:space="preserve">Ergebnis: </w:t>
      </w:r>
      <w:r>
        <w:t>20% der Jugendlichen hatten sexuelle Erfahrung mit Medianalter 14 Jahren. Wissen über drei oder mehr STIs war mit HPV-Impfung assoziiert (p=0,001). 62% nutzten bei letztem Sexualkontakt Kondome und/oder orale Kontrazeptiva; Mädchen 70–80%, Jungen 50–55%. HPV-Geimpfte nutzten Kondome signifikant häufiger.</w:t>
      </w:r>
    </w:p>
    <w:p>
      <w:r>
        <w:rPr>
          <w:b/>
          <w:sz w:val="19"/>
        </w:rPr>
        <w:t xml:space="preserve">Übertragbarkeit: </w:t>
      </w:r>
      <w:r>
        <w:rPr>
          <w:sz w:val="19"/>
        </w:rPr>
        <w:t>Dänemark, europäisches Impfprogramm und Bevölkerungsaufbau.</w:t>
      </w:r>
    </w:p>
    <w:p>
      <w:r>
        <w:rPr>
          <w:color w:val="5A7D3A"/>
          <w:sz w:val="18"/>
        </w:rPr>
        <w:t>https://pubmed.ncbi.nlm.nih.gov/42592763/</w:t>
      </w:r>
    </w:p>
    <w:p>
      <w:pPr>
        <w:pStyle w:val="Heading2"/>
      </w:pPr>
      <w:r>
        <w:t>RSV-Impfung bei immungeschwächten Erwachsenen würde Krankheitslast und Kosten in Deutschland senken</w:t>
      </w:r>
    </w:p>
    <w:p>
      <w:r>
        <w:rPr>
          <w:i/>
          <w:color w:val="666666"/>
          <w:sz w:val="18"/>
        </w:rPr>
        <w:t>Quinn E et al.  ·  Expert Rev Vaccines  ·  31.07.2026  ·  PMID 42535735</w:t>
      </w:r>
    </w:p>
    <w:p>
      <w:r>
        <w:t>Kosten-Effektivitätsmodell für RSV-Impfung (RSVpreF) in Deutschland, mit Szenarien für die Erweiterung der STIKO-Empfehlung auf Personen &lt;60 Jahren.</w:t>
      </w:r>
    </w:p>
    <w:p>
      <w:r>
        <w:rPr>
          <w:b/>
        </w:rPr>
        <w:t xml:space="preserve">Ergebnis: </w:t>
      </w:r>
      <w:r>
        <w:t>Gegenwärtig: Empfehlung für 60–74 Jahre und ≥75 Jahre. Erweiterung auf immungeschwächte (IC) Erwachsene 18–59 Jahre würde 6.490 Fälle verhindern, 199 Todesfälle abwenden und 21 Mio. € einsparen. Erweiterung auf IC/chronisch kranke Personen 18–59 Jahre würde 24.545 Fälle und 388 Todesfälle verhindern bei Mehrkosten von 238 Mio. €.</w:t>
      </w:r>
    </w:p>
    <w:p>
      <w:r>
        <w:rPr>
          <w:b/>
          <w:sz w:val="19"/>
        </w:rPr>
        <w:t xml:space="preserve">Übertragbarkeit: </w:t>
      </w:r>
      <w:r>
        <w:rPr>
          <w:sz w:val="19"/>
        </w:rPr>
        <w:t>Deutschland, deutsche Versicherungslogik und STIKO-Struktur.</w:t>
      </w:r>
    </w:p>
    <w:p>
      <w:r>
        <w:rPr>
          <w:color w:val="5A7D3A"/>
          <w:sz w:val="18"/>
        </w:rPr>
        <w:t>https://pubmed.ncbi.nlm.nih.gov/42535735/</w:t>
      </w:r>
    </w:p>
    <w:p>
      <w:pPr>
        <w:pStyle w:val="Heading2"/>
      </w:pPr>
      <w:r>
        <w:t>Schützende Antikörper gegen Röteln bei Katalanischen Medizinstudierenden trotz hoher Impfquoten</w:t>
      </w:r>
    </w:p>
    <w:p>
      <w:r>
        <w:rPr>
          <w:i/>
          <w:color w:val="666666"/>
          <w:sz w:val="18"/>
        </w:rPr>
        <w:t>Benito P et al.  ·  Vaccine  ·  13.08.2026  ·  PMID 42501718</w:t>
      </w:r>
    </w:p>
    <w:p>
      <w:r>
        <w:t>Querschnittsstudie an 235 Medizinstudierenden in vier katalanischen Universitäten zur Röteln-Impfquote und Seroprävalenz von Schutzantikörpern.</w:t>
      </w:r>
    </w:p>
    <w:p>
      <w:r>
        <w:rPr>
          <w:b/>
        </w:rPr>
        <w:t xml:space="preserve">Ergebnis: </w:t>
      </w:r>
      <w:r>
        <w:t>94,5% berichteten vollständige Röteln-Impfung; 84,7% hatten schützende Anti-Röteln-IgG-Antikörper, 6,0% grenzwertig und 9,4% negativ. Vollständig Geimpfte waren signifikant häufiger seropositiv (aOR 4,02; 95% CI 1,14–13,11). Nahezu alle Teilnehmenden bewerteten die MMR-Impfung als sicher und wichtig.</w:t>
      </w:r>
    </w:p>
    <w:p>
      <w:r>
        <w:rPr>
          <w:b/>
          <w:sz w:val="19"/>
        </w:rPr>
        <w:t xml:space="preserve">Übertragbarkeit: </w:t>
      </w:r>
      <w:r>
        <w:rPr>
          <w:sz w:val="19"/>
        </w:rPr>
        <w:t>Spanien, vergleichbares Hochschulsystem und Impfkalender.</w:t>
      </w:r>
    </w:p>
    <w:p>
      <w:r>
        <w:rPr>
          <w:color w:val="5A7D3A"/>
          <w:sz w:val="18"/>
        </w:rPr>
        <w:t>https://pubmed.ncbi.nlm.nih.gov/42501718/</w:t>
      </w:r>
    </w:p>
    <w:p>
      <w:pPr>
        <w:pStyle w:val="Heading2"/>
      </w:pPr>
      <w:r>
        <w:t>Catch-up-Impfquoten nach Beratung bei ukrainischen Kinderflüchtlingen in der Schweiz deutlich verbessert</w:t>
      </w:r>
    </w:p>
    <w:p>
      <w:r>
        <w:rPr>
          <w:i/>
          <w:color w:val="666666"/>
          <w:sz w:val="18"/>
        </w:rPr>
        <w:t>Vaezipour N et al.  ·  Eur J Pediatr  ·  23.07.2026  ·  PMID 42489737</w:t>
      </w:r>
    </w:p>
    <w:p>
      <w:r>
        <w:t>Retrospektive Kohortenstudie bei 517 ukrainischen Kinderflüchtlingen in fünf Schweizer Zentren zur Durchimpfung und Infektionsscreening.</w:t>
      </w:r>
    </w:p>
    <w:p>
      <w:r>
        <w:rPr>
          <w:b/>
        </w:rPr>
        <w:t xml:space="preserve">Ergebnis: </w:t>
      </w:r>
      <w:r>
        <w:t>Bei Ankunft 71–82% altersentsprechend geimpft gegen Masern, Diphtherie-Tetanus-Pertussis, Poliomyelitis und Haemophilus influenzae b; Hauptgrund für Lücken war Impfskepsis. Nach Impfberatung/Catch-up-Programme: 98% (509/517) vollständig geimpft. Infektionsscreening-Positivraten niedrig: HIV 2,7%, Hepatitis B 1,6%, Tuberkulose 1,0%.</w:t>
      </w:r>
    </w:p>
    <w:p>
      <w:r>
        <w:rPr>
          <w:b/>
          <w:sz w:val="19"/>
        </w:rPr>
        <w:t xml:space="preserve">Übertragbarkeit: </w:t>
      </w:r>
      <w:r>
        <w:rPr>
          <w:sz w:val="19"/>
        </w:rPr>
        <w:t>Schweiz, vergleichbares Versicherungssystem und Versorgungsauftrag.</w:t>
      </w:r>
    </w:p>
    <w:p>
      <w:r>
        <w:rPr>
          <w:color w:val="5A7D3A"/>
          <w:sz w:val="18"/>
        </w:rPr>
        <w:t>https://pubmed.ncbi.nlm.nih.gov/42489737/</w:t>
      </w:r>
    </w:p>
    <w:p>
      <w:pPr>
        <w:pStyle w:val="Heading2"/>
      </w:pPr>
      <w:r>
        <w:t>Impfdurchbrüche mit Pneumokokken-Serotyp 3 trotz hoher PCV13-Abdeckung bei Kindern</w:t>
      </w:r>
    </w:p>
    <w:p>
      <w:r>
        <w:rPr>
          <w:i/>
          <w:color w:val="666666"/>
          <w:sz w:val="18"/>
        </w:rPr>
        <w:t>Ciruela P et al.  ·  Vaccine  ·  13.08.2026  ·  PMID 42486053</w:t>
      </w:r>
    </w:p>
    <w:p>
      <w:r>
        <w:t>Retrospektive Beobachtungsstudie zu invasiven Pneumokokken-Erkrankungen bei 206 PCV13-geimpften Kindern in Katalonien 2018–2023 mit Impfquoten &gt;96%.</w:t>
      </w:r>
    </w:p>
    <w:p>
      <w:r>
        <w:rPr>
          <w:b/>
        </w:rPr>
        <w:t xml:space="preserve">Ergebnis: </w:t>
      </w:r>
      <w:r>
        <w:t>48,0% vollständig Geimpfter (n=177) zeigten Impfversagen, vorwiegend durch Serotyp 3 (84,7% der Fälle). Im Vergleich zur Vor-PCV13-Ära war der Schutz länger haltbar, aber der Anteil von Serotyp-3-Durchbrüchen blieb erheblich. Ausschluss von Serotyp 3 senkte die Impfversagensrate von 48,0% auf 12,4%.</w:t>
      </w:r>
    </w:p>
    <w:p>
      <w:r>
        <w:rPr>
          <w:b/>
          <w:sz w:val="19"/>
        </w:rPr>
        <w:t xml:space="preserve">Übertragbarkeit: </w:t>
      </w:r>
      <w:r>
        <w:rPr>
          <w:sz w:val="19"/>
        </w:rPr>
        <w:t>Spanien, vergleichbares Impfprogramm und Surveillance-System.</w:t>
      </w:r>
    </w:p>
    <w:p>
      <w:r>
        <w:rPr>
          <w:color w:val="5A7D3A"/>
          <w:sz w:val="18"/>
        </w:rPr>
        <w:t>https://pubmed.ncbi.nlm.nih.gov/42486053/</w:t>
      </w:r>
    </w:p>
    <w:p>
      <w:pPr>
        <w:pStyle w:val="Heading1"/>
      </w:pPr>
      <w:r>
        <w:t>Aufgenommen am 29.08.2026</w:t>
      </w:r>
    </w:p>
    <w:p>
      <w:pPr>
        <w:pStyle w:val="Heading2"/>
      </w:pPr>
      <w:r>
        <w:t>Dezentralisierte CAR-T-Zelltherapie: Phase-1-Sicherheit und Machbarkeit</w:t>
      </w:r>
    </w:p>
    <w:p>
      <w:r>
        <w:rPr>
          <w:i/>
          <w:color w:val="666666"/>
          <w:sz w:val="18"/>
        </w:rPr>
        <w:t>Kersten MJ et al.  ·  Lancet Haematol  ·  Sept. 2026  ·  PMID 42660131</w:t>
      </w:r>
    </w:p>
    <w:p>
      <w:r>
        <w:t>Phase-1-Dosis-Eskalationsstudie der dezentralisierten Fertigung von CD19-CAR-T-Zellen (GLPG5101) bei 24 Patienten mit rezidiviertem/refraktärem B-Zell-Non-Hodgkin-Lymphom in Niederlanden und Belgien (März 2022–September 2024).</w:t>
      </w:r>
    </w:p>
    <w:p>
      <w:r>
        <w:rPr>
          <w:b/>
        </w:rPr>
        <w:t xml:space="preserve">Ergebnis: </w:t>
      </w:r>
      <w:r>
        <w:t>Fünf dosislimitierende Toxizitäten berichtet: Grad-3-Thrombozytopenie (n=1), Tod durch intra-abdominale Blutung (n=1), Grad-4-Neutropenie (n=3). Vier therapiebedingte Todesfälle insgesamt. Empfohlene Phase-2-Dosis: 110 × 10⁶ (Bereich 50–110 × 10⁶) CAR⁺-T-Zellen. Studie zeigte Machbarkeit schneller dezentralisierter Fertigung und Lieferung.</w:t>
      </w:r>
    </w:p>
    <w:p>
      <w:r>
        <w:rPr>
          <w:b/>
          <w:sz w:val="19"/>
        </w:rPr>
        <w:t xml:space="preserve">Übertragbarkeit: </w:t>
      </w:r>
      <w:r>
        <w:rPr>
          <w:sz w:val="19"/>
        </w:rPr>
        <w:t>Niederlande/Belgien, dezentralisierte Herstellung lokal lösbar, aber CAR-T grundsätzlich komplexes spezialisiertes Therapieverfahren</w:t>
      </w:r>
    </w:p>
    <w:p>
      <w:r>
        <w:rPr>
          <w:color w:val="5A7D3A"/>
          <w:sz w:val="18"/>
        </w:rPr>
        <w:t>https://pubmed.ncbi.nlm.nih.gov/42660131/</w:t>
      </w:r>
    </w:p>
    <w:p>
      <w:pPr>
        <w:pStyle w:val="Heading2"/>
      </w:pPr>
      <w:r>
        <w:t>Pränatalintervention für Impfakzeptanz durch Bürgerbeteiligung entwickelt</w:t>
      </w:r>
    </w:p>
    <w:p>
      <w:r>
        <w:rPr>
          <w:i/>
          <w:color w:val="666666"/>
          <w:sz w:val="18"/>
        </w:rPr>
        <w:t>McCarron SA et al.  ·  Health Expect  ·  Aug. 2026  ·  PMID 42550057</w:t>
      </w:r>
    </w:p>
    <w:p>
      <w:r>
        <w:t>Partizipative Entwicklung einer Antenatalintervention zur Förderung der Impfakzeptanz in Nordirland mit Eltern, Patienten und Öffentlichkeit (Maternity Service Liaison Committee, Sure Start-Programme, aufsuchende Klinik für Ostriesische Gemeinde).</w:t>
      </w:r>
    </w:p>
    <w:p>
      <w:r>
        <w:rPr>
          <w:b/>
        </w:rPr>
        <w:t xml:space="preserve">Ergebnis: </w:t>
      </w:r>
      <w:r>
        <w:t>Input von Eltern und Gemeindevertreter prägte Inhalt, Timing und Präsentation der Impfinformation. Wichtigste Erkenntnisse: klare, einfache Sprachinformation früh in der Schwangerschaft erforderlich, Informationen müssen an verschiedene Bedürfnisse zugeschnitten werden. Vertrauen in etablierte Netzwerke unterstützte Engagement mit unterrepräsentierten Gruppen.</w:t>
      </w:r>
    </w:p>
    <w:p>
      <w:r>
        <w:rPr>
          <w:b/>
          <w:sz w:val="19"/>
        </w:rPr>
        <w:t xml:space="preserve">Übertragbarkeit: </w:t>
      </w:r>
      <w:r>
        <w:rPr>
          <w:sz w:val="19"/>
        </w:rPr>
        <w:t>UK-System; Methode der Bürgerbeteiligung übertragbar, aber Antenatalstrukturen unterscheiden sich</w:t>
      </w:r>
    </w:p>
    <w:p>
      <w:r>
        <w:rPr>
          <w:color w:val="5A7D3A"/>
          <w:sz w:val="18"/>
        </w:rPr>
        <w:t>https://pubmed.ncbi.nlm.nih.gov/42550057/</w:t>
      </w:r>
    </w:p>
    <w:p>
      <w:pPr>
        <w:pStyle w:val="Heading2"/>
      </w:pPr>
      <w:r>
        <w:t>Mpox-Impfstoff Jynneos: Sicherheitsprofil während Ausbruch in Deutschland bestätigt</w:t>
      </w:r>
    </w:p>
    <w:p>
      <w:r>
        <w:rPr>
          <w:i/>
          <w:color w:val="666666"/>
          <w:sz w:val="18"/>
        </w:rPr>
        <w:t>Oberle D et al.  ·  Euro Surveill  ·  Juli 2026  ·  PMID 42535289</w:t>
      </w:r>
    </w:p>
    <w:p>
      <w:r>
        <w:t>Überwachung unerwünschter Ereignisse nach MVA-BN-Impfung gegen Mpox in Deutschland Juni 2022 bis Februar 2024 bei 78.739 verabreichten Dosen.</w:t>
      </w:r>
    </w:p>
    <w:p>
      <w:r>
        <w:rPr>
          <w:b/>
        </w:rPr>
        <w:t xml:space="preserve">Ergebnis: </w:t>
      </w:r>
      <w:r>
        <w:t>32 Einzelfallberichte wurden identifiziert, davon 7 schwerwiegend; 87 unerwünschte Ereignisse insgesamt gemeldet (98,7 pro 100.000 Dosen adjustiert). Das Sicherheitsprofil entsprach der Produktcharakterisierung; keine neuen Sicherheitssignale wurden identifiziert. Lokale und systemische Reaktionen waren überwiegend mild bis moderat.</w:t>
      </w:r>
    </w:p>
    <w:p>
      <w:r>
        <w:rPr>
          <w:b/>
          <w:sz w:val="19"/>
        </w:rPr>
        <w:t xml:space="preserve">Übertragbarkeit: </w:t>
      </w:r>
      <w:r>
        <w:rPr>
          <w:sz w:val="19"/>
        </w:rPr>
        <w:t>Deutschland, eigenes Surveillancesystem, direkt übertragbar</w:t>
      </w:r>
    </w:p>
    <w:p>
      <w:r>
        <w:rPr>
          <w:color w:val="5A7D3A"/>
          <w:sz w:val="18"/>
        </w:rPr>
        <w:t>https://pubmed.ncbi.nlm.nih.gov/42535289/</w:t>
      </w:r>
    </w:p>
    <w:p>
      <w:pPr>
        <w:pStyle w:val="Heading2"/>
      </w:pPr>
      <w:r>
        <w:t>Determinanten der Influenza- und COVID-19-Impfquoten bei Hochrisikopatienten</w:t>
      </w:r>
    </w:p>
    <w:p>
      <w:r>
        <w:rPr>
          <w:i/>
          <w:color w:val="666666"/>
          <w:sz w:val="18"/>
        </w:rPr>
        <w:t>Grape L et al.  ·  Hum Vaccin Immunother  ·  28.07.2026  ·  PMID 42518305</w:t>
      </w:r>
    </w:p>
    <w:p>
      <w:r>
        <w:t>Querschnittsstudie mit semistandardisierten Interviews und Patientenakten bei 600 Notaufnahme-Patienten in Nordschweden zur Identifikation von Impfquoten und Barrieren bei Hochrisikogruppen.</w:t>
      </w:r>
    </w:p>
    <w:p>
      <w:r>
        <w:rPr>
          <w:b/>
        </w:rPr>
        <w:t xml:space="preserve">Ergebnis: </w:t>
      </w:r>
      <w:r>
        <w:t>Quote unter berechtigten Personen: 52,0% für Influenza, 54,2% für COVID-19. Koinfektion beider Impfstoffe hoch (aOR 55,33). Männliches Geschlecht (aOR 0,57), jüngeres Alter (aOR 0,50), Rauchen (aOR 0,43) und nur altersbasierte Berechtigung (aOR 0,41) waren mit niedriger Impfakzeptanz assoziiert. Gemeindeebene-Determinanten zeigten wenig Einfluss.</w:t>
      </w:r>
    </w:p>
    <w:p>
      <w:r>
        <w:rPr>
          <w:b/>
          <w:sz w:val="19"/>
        </w:rPr>
        <w:t xml:space="preserve">Übertragbarkeit: </w:t>
      </w:r>
      <w:r>
        <w:rPr>
          <w:sz w:val="19"/>
        </w:rPr>
        <w:t>Skandinavien, deutsches Versicherungssystem ähnlich, aber Datenquellen und Populationsmerkmale unterscheiden sich</w:t>
      </w:r>
    </w:p>
    <w:p>
      <w:r>
        <w:rPr>
          <w:color w:val="5A7D3A"/>
          <w:sz w:val="18"/>
        </w:rPr>
        <w:t>https://pubmed.ncbi.nlm.nih.gov/42518305/</w:t>
      </w:r>
    </w:p>
    <w:p>
      <w:pPr>
        <w:pStyle w:val="Heading2"/>
      </w:pPr>
      <w:r>
        <w:t>Null-Dosis-Kinder in Madagaskar identifizieren und erreichen</w:t>
      </w:r>
    </w:p>
    <w:p>
      <w:r>
        <w:rPr>
          <w:i/>
          <w:color w:val="666666"/>
          <w:sz w:val="18"/>
        </w:rPr>
        <w:t>Muller N et al.  ·  Bull World Health Organ  ·  01.08.2026  ·  PMID 42516117</w:t>
      </w:r>
    </w:p>
    <w:p>
      <w:r>
        <w:t>Gemeindegestützte Erhebung zur Ermittlung von Kindern ohne DTP-Impfdokumentation in 16 südmadagassischen Distrikten (August 2024–Juni 2025) mit 3.975 ausgebildeten Gemeindegesundheitshelfern und digitalen Werkzeugen.</w:t>
      </w:r>
    </w:p>
    <w:p>
      <w:r>
        <w:rPr>
          <w:b/>
        </w:rPr>
        <w:t xml:space="preserve">Ergebnis: </w:t>
      </w:r>
      <w:r>
        <w:t>81% der fokontanys (3.538/4.347) aktualisierten Register. Von 368.227 erfassten Kindern unter 5 Jahren hatten 58% (213.173) keine dokumentierte DTP-Dosis. Distriktweite Prävalenz von Null-Dosis-Kindern lag zwischen 25% und 86%. 42.700 Null-Dosis-Kinder wurden mit DTP geimpft und übertrafen Programmziel vorzeitig.</w:t>
      </w:r>
    </w:p>
    <w:p>
      <w:r>
        <w:rPr>
          <w:b/>
          <w:sz w:val="19"/>
        </w:rPr>
        <w:t xml:space="preserve">Übertragbarkeit: </w:t>
      </w:r>
      <w:r>
        <w:rPr>
          <w:sz w:val="19"/>
        </w:rPr>
        <w:t>Afrikanisches Setting; Digitale Hilfsmittel und Community-Engagement lokal anpassbar, aber Registrierungsinfrastruktur grundverschieden von Deutschland</w:t>
      </w:r>
    </w:p>
    <w:p>
      <w:r>
        <w:rPr>
          <w:color w:val="5A7D3A"/>
          <w:sz w:val="18"/>
        </w:rPr>
        <w:t>https://pubmed.ncbi.nlm.nih.gov/42516117/</w:t>
      </w:r>
    </w:p>
    <w:p>
      <w:pPr>
        <w:pStyle w:val="Heading2"/>
      </w:pPr>
      <w:r>
        <w:t>Impfskepsis im Kriegsgebiet Ukraine: Verhaltensmodellierung von Umfragedaten</w:t>
      </w:r>
    </w:p>
    <w:p>
      <w:r>
        <w:rPr>
          <w:i/>
          <w:color w:val="666666"/>
          <w:sz w:val="18"/>
        </w:rPr>
        <w:t>Naeem A et al.  ·  Health Policy  ·  17.07.2026  ·  PMID 42508188</w:t>
      </w:r>
    </w:p>
    <w:p>
      <w:r>
        <w:t>Agent-basierte Modellierung (ABM) von Impfverhalten in der konfliktbetroffenen Ukraine basierend auf Querschnittsbefragung in 557 Hromadas unter laufendem Krieg; Simulation der Wechselwirkung zwischen Verhaltens-, Struktur- und Sozialvariablen.</w:t>
      </w:r>
    </w:p>
    <w:p>
      <w:r>
        <w:rPr>
          <w:b/>
        </w:rPr>
        <w:t xml:space="preserve">Ergebnis: </w:t>
      </w:r>
      <w:r>
        <w:t>ABM zeigte, dass Impfakzeptanz durch Wechselspiel von Zugangsbarrieren und Peereinfluss gesteuert wird. Glaubenswechsel erreichten 88%; Vakzinierungsquote stieg um 3–15% durch Zugangsbeseitigung. Peer-Dynamiken erhöhten Impfquoten auf 69–89%. Peer-Konformität war dominanter Treiber, was auf Kollektivmechanismus zwischen Sozialsteckung und Verhaltensadoption hindeutet.</w:t>
      </w:r>
    </w:p>
    <w:p>
      <w:r>
        <w:rPr>
          <w:b/>
          <w:sz w:val="19"/>
        </w:rPr>
        <w:t xml:space="preserve">Übertragbarkeit: </w:t>
      </w:r>
      <w:r>
        <w:rPr>
          <w:sz w:val="19"/>
        </w:rPr>
        <w:t>Konfliktzone, begrenzt auf Kriegssituationen übertragbar; Methodologie der Verhaltensmodellierung relevant</w:t>
      </w:r>
    </w:p>
    <w:p>
      <w:r>
        <w:rPr>
          <w:color w:val="5A7D3A"/>
          <w:sz w:val="18"/>
        </w:rPr>
        <w:t>https://pubmed.ncbi.nlm.nih.gov/42508188/</w:t>
      </w:r>
    </w:p>
    <w:p>
      <w:pPr>
        <w:pStyle w:val="Heading2"/>
      </w:pPr>
      <w:r>
        <w:t>XBB.1.5-Impfstoff gegen schwere COVID-19 bei immungeschwächten Erwachsenen</w:t>
      </w:r>
    </w:p>
    <w:p>
      <w:r>
        <w:rPr>
          <w:i/>
          <w:color w:val="666666"/>
          <w:sz w:val="18"/>
        </w:rPr>
        <w:t>Blake A et al.  ·  Expert Rev Vaccines  ·  31.12.2026  ·  PMID 42504085</w:t>
      </w:r>
    </w:p>
    <w:p>
      <w:r>
        <w:t>Retrospektive multländer-Kohortenstudie mit elektronischen Gesundheitsakten in Belgien, Dänemark, Italien, Portugal, Spanien (Navarra) und Schweden zur Wirksamkeit des angepassten XBB.1.5-Impfstoffs gegen Hospitalisierung und Tod bei Immungeschwächten (ICPs).</w:t>
      </w:r>
    </w:p>
    <w:p>
      <w:r>
        <w:rPr>
          <w:b/>
        </w:rPr>
        <w:t xml:space="preserve">Ergebnis: </w:t>
      </w:r>
      <w:r>
        <w:t>XBB.1.5-Impfstoffwirksamkeit (VE) betrug 52% (95%-KI 41–60) gegen Hospitalisierung und 75% (95%-KI 60–84) gegen Tod in den ersten 14–59 Tagen nach Impfung. VE nahm mit zeitlichem Abstand ab; kein Schutz mehr nach 180–365 Tagen. Moderate Schutzwirkung innerhalb von 120 Tagen beobachtet.</w:t>
      </w:r>
    </w:p>
    <w:p>
      <w:r>
        <w:rPr>
          <w:b/>
          <w:sz w:val="19"/>
        </w:rPr>
        <w:t xml:space="preserve">Übertragbarkeit: </w:t>
      </w:r>
      <w:r>
        <w:rPr>
          <w:sz w:val="19"/>
        </w:rPr>
        <w:t>Europäische EHR-Netzwerk; vergleichbare Gesundheitssysteme (Belgien, Dänemark, Schweden, südliche EU)</w:t>
      </w:r>
    </w:p>
    <w:p>
      <w:r>
        <w:rPr>
          <w:color w:val="5A7D3A"/>
          <w:sz w:val="18"/>
        </w:rPr>
        <w:t>https://pubmed.ncbi.nlm.nih.gov/42504085/</w:t>
      </w:r>
    </w:p>
    <w:p>
      <w:pPr>
        <w:pStyle w:val="Heading1"/>
      </w:pPr>
      <w:r>
        <w:t>Aufgenommen am 28.08.2026</w:t>
      </w:r>
    </w:p>
    <w:p>
      <w:pPr>
        <w:pStyle w:val="Heading2"/>
      </w:pPr>
      <w:r>
        <w:t>Influenza-Impfung reduziert Todesfälle bei hospitalisiertem älteren Alter</w:t>
      </w:r>
    </w:p>
    <w:p>
      <w:r>
        <w:rPr>
          <w:i/>
          <w:color w:val="666666"/>
          <w:sz w:val="18"/>
        </w:rPr>
        <w:t>Marques DFP et al.  ·  Expert Rev Vaccines  ·  27.08.2026  ·  PMID 42657682</w:t>
      </w:r>
    </w:p>
    <w:p>
      <w:r>
        <w:t>Retrospektive Kohortenstudie aus dem europäischen I-MOVE-Netzwerk untersuchte die Assoziation zwischen Influenza-Impfung und schweren Outcomes bei ≥65-jährigen mit laborbestätigter Influenza (2015/16–2024/25).</w:t>
      </w:r>
    </w:p>
    <w:p>
      <w:r>
        <w:rPr>
          <w:b/>
        </w:rPr>
        <w:t xml:space="preserve">Ergebnis: </w:t>
      </w:r>
      <w:r>
        <w:t>Bei 4.257 Patienten zeigte Impfung wenig Assoziation mit ICU-Aufnahmen (RRR 11 %, 95% CI: -21–34), aber war mit 26-prozentiger Reduktion der Todesfälle während Hospitalisierung assoziiert (95% CI: 3–43). In der älteren Gruppe ≥80 Jahre betrug die Reduktion der In-Hospital-Mortalität 29%.</w:t>
      </w:r>
    </w:p>
    <w:p>
      <w:r>
        <w:rPr>
          <w:b/>
          <w:sz w:val="19"/>
        </w:rPr>
        <w:t xml:space="preserve">Übertragbarkeit: </w:t>
      </w:r>
      <w:r>
        <w:rPr>
          <w:sz w:val="19"/>
        </w:rPr>
        <w:t>Europäische Klinikdaten, vergleichbare Dokumentationspflichten, direkt auf Deutschland übertragbar.</w:t>
      </w:r>
    </w:p>
    <w:p>
      <w:r>
        <w:rPr>
          <w:color w:val="5A7D3A"/>
          <w:sz w:val="18"/>
        </w:rPr>
        <w:t>https://pubmed.ncbi.nlm.nih.gov/42657682/</w:t>
      </w:r>
    </w:p>
    <w:p>
      <w:pPr>
        <w:pStyle w:val="Heading2"/>
      </w:pPr>
      <w:r>
        <w:t>Unregistrierte Migranten-Kinder unterimpft: Rechtszugang ist zentral</w:t>
      </w:r>
    </w:p>
    <w:p>
      <w:r>
        <w:rPr>
          <w:i/>
          <w:color w:val="666666"/>
          <w:sz w:val="18"/>
        </w:rPr>
        <w:t>Oo SM et al.  ·  Med Sci (Basel)  ·  02.08.2026  ·  PMID 42646586</w:t>
      </w:r>
    </w:p>
    <w:p>
      <w:r>
        <w:t>Querschnittstudie mit 423 burmesischen Migrantenkinder unter 7 Jahren in Nord-Thailand; Faktoren für unvollständige Impfungen wurden gemessen (2025).</w:t>
      </w:r>
    </w:p>
    <w:p>
      <w:r>
        <w:rPr>
          <w:b/>
        </w:rPr>
        <w:t xml:space="preserve">Ergebnis: </w:t>
      </w:r>
      <w:r>
        <w:t>21,5 % waren unterimpft. Unabhängige Risikofaktoren: Fehlen von Geburtsregistrierung (aOR 9,52, 95% CI 3,74–24,27), fehlende Krankenversicherung (aOR 14,03, 95% CI 6,45–30,54), Rückkehr-Migration (aOR 19,05, 95% CI 8,48–44,13), Zeitbarrieren (aOR 4,09, 95% CI 1,20–13,94) und finanzielle Barrieren (aOR 7,07, 95% CI 1,67–29,91).</w:t>
      </w:r>
    </w:p>
    <w:p>
      <w:r>
        <w:rPr>
          <w:b/>
          <w:sz w:val="19"/>
        </w:rPr>
        <w:t xml:space="preserve">Übertragbarkeit: </w:t>
      </w:r>
      <w:r>
        <w:rPr>
          <w:sz w:val="19"/>
        </w:rPr>
        <w:t>Thailand; zeigt strukturelle Hürden bei Migranten; relevante Erkenntnisse für Deutschland bei Flucht und Asyl.</w:t>
      </w:r>
    </w:p>
    <w:p>
      <w:r>
        <w:rPr>
          <w:color w:val="5A7D3A"/>
          <w:sz w:val="18"/>
        </w:rPr>
        <w:t>https://pubmed.ncbi.nlm.nih.gov/42646586/</w:t>
      </w:r>
    </w:p>
    <w:p>
      <w:pPr>
        <w:pStyle w:val="Heading2"/>
      </w:pPr>
      <w:r>
        <w:t>Impfskepsis ist stärkste Barriere in fragiler Lage: Somaliisches Feldbeispiel</w:t>
      </w:r>
    </w:p>
    <w:p>
      <w:r>
        <w:rPr>
          <w:i/>
          <w:color w:val="666666"/>
          <w:sz w:val="18"/>
        </w:rPr>
        <w:t>Abdi MS et al.  ·  Front Public Health  ·  11.08.2026  ·  PMID 42643472</w:t>
      </w:r>
    </w:p>
    <w:p>
      <w:r>
        <w:t>Querschnittsbefragung von 384 Betreuungspersonen in IDP-Lagern in Mogadischu nach Diphtherie-Impfkampagne; Einflussfaktoren auf Durchimpfung wurden geprüft (2026).</w:t>
      </w:r>
    </w:p>
    <w:p>
      <w:r>
        <w:rPr>
          <w:b/>
        </w:rPr>
        <w:t xml:space="preserve">Ergebnis: </w:t>
      </w:r>
      <w:r>
        <w:t>Gesamte Impfquote 57,6 %. Höhere Impfbedenken-Scores (Vaccine Safety Concern Scale) waren mit deutlich niedrigerem Impfrisiko assoziiert (aOR 0,72, 95% CI 0,57–0,90). Schulbildung der Eltern, Vertrauen in Gesundheitsarbeiter und wahrgenommener Zugang waren nicht signifikant assoziiert.</w:t>
      </w:r>
    </w:p>
    <w:p>
      <w:r>
        <w:rPr>
          <w:b/>
          <w:sz w:val="19"/>
        </w:rPr>
        <w:t xml:space="preserve">Übertragbarkeit: </w:t>
      </w:r>
      <w:r>
        <w:rPr>
          <w:sz w:val="19"/>
        </w:rPr>
        <w:t>Somaliisch; zeigt, dass Sicherheitsbedenken auch bei fragilen Populationen zentral sind; Lernpunkte für Notfall-Impfkampagnen.</w:t>
      </w:r>
    </w:p>
    <w:p>
      <w:r>
        <w:rPr>
          <w:color w:val="5A7D3A"/>
          <w:sz w:val="18"/>
        </w:rPr>
        <w:t>https://pubmed.ncbi.nlm.nih.gov/42643472/</w:t>
      </w:r>
    </w:p>
    <w:p>
      <w:pPr>
        <w:pStyle w:val="Heading2"/>
      </w:pPr>
      <w:r>
        <w:t>Gesunde-Impfling-Effekt bei COVID-19-Vakzine in älteren Gruppen</w:t>
      </w:r>
    </w:p>
    <w:p>
      <w:r>
        <w:rPr>
          <w:i/>
          <w:color w:val="666666"/>
          <w:sz w:val="18"/>
        </w:rPr>
        <w:t>Lyth J et al.  ·  Nat Commun  ·  08.08.2026  ·  PMID 42570961</w:t>
      </w:r>
    </w:p>
    <w:p>
      <w:r>
        <w:t>Schwedenweite Kohortenstudie in Bevölkerung ≥65 Jahren untersuchte die Effektivität der 2024–2025 JN.1-adaptierten COVID-19-Vakzine gegen Hospitalisierung und als Negativkontrolle All-Cause-Mortalität (N=245.696, Oktober 2024–März 2025).</w:t>
      </w:r>
    </w:p>
    <w:p>
      <w:r>
        <w:rPr>
          <w:b/>
        </w:rPr>
        <w:t xml:space="preserve">Ergebnis: </w:t>
      </w:r>
      <w:r>
        <w:t>VE gegen COVID-Hospitalisierung 75 % (95% CI 70–79 %), bei Vorimpfung 2023–24 sogar 84 % (95% CI 80–87 %). Kritisch: All-Cause-Mortalität (Negativkontrolle) war in der geimpften Gruppe um 57 % niedriger (HR 0,43, 95% CI 0,40–0,45), was auf Selektionseffekte durch Frailty hindeutet.</w:t>
      </w:r>
    </w:p>
    <w:p>
      <w:r>
        <w:rPr>
          <w:b/>
          <w:sz w:val="19"/>
        </w:rPr>
        <w:t xml:space="preserve">Übertragbarkeit: </w:t>
      </w:r>
      <w:r>
        <w:rPr>
          <w:sz w:val="19"/>
        </w:rPr>
        <w:t>Skandinavisch, vergleichbares Versorgungssystem; Befund zu Selektionsverzerrung universell relevant.</w:t>
      </w:r>
    </w:p>
    <w:p>
      <w:r>
        <w:rPr>
          <w:color w:val="5A7D3A"/>
          <w:sz w:val="18"/>
        </w:rPr>
        <w:t>https://pubmed.ncbi.nlm.nih.gov/42570961/</w:t>
      </w:r>
    </w:p>
    <w:p>
      <w:pPr>
        <w:pStyle w:val="Heading2"/>
      </w:pPr>
      <w:r>
        <w:t>Schulungskurs verbessert Wissen von Apothekern zur Impfung</w:t>
      </w:r>
    </w:p>
    <w:p>
      <w:r>
        <w:rPr>
          <w:i/>
          <w:color w:val="666666"/>
          <w:sz w:val="18"/>
        </w:rPr>
        <w:t>Waszkiewicz M et al.  ·  Med Sci Monit  ·  05.08.2026  ·  PMID 42552681</w:t>
      </w:r>
    </w:p>
    <w:p>
      <w:r>
        <w:t>Pre-post-Studie in Polen evaluierte Wissenszuwachs bei Apothekern nach Fortbildung zur Influenza- und Pneumokokken-Impfung (Februar 2024–Juli 2025).</w:t>
      </w:r>
    </w:p>
    <w:p>
      <w:r>
        <w:rPr>
          <w:b/>
        </w:rPr>
        <w:t xml:space="preserve">Ergebnis: </w:t>
      </w:r>
      <w:r>
        <w:t>Unter 327 Absolventen stieg das Testscore signifikant um 4,7 Punkte (Mdiff = –4,67, 95% CI: –4,99 bis –4,34, d = 1,55, p &lt; 0,001). Das entspricht ca. 23 % der maximalen Testscore-Steigerung und wurde als großer Effekt beurteilt.</w:t>
      </w:r>
    </w:p>
    <w:p>
      <w:r>
        <w:rPr>
          <w:b/>
          <w:sz w:val="19"/>
        </w:rPr>
        <w:t xml:space="preserve">Übertragbarkeit: </w:t>
      </w:r>
      <w:r>
        <w:rPr>
          <w:sz w:val="19"/>
        </w:rPr>
        <w:t>Polen hat Apothekern 2024 Impfkompetenz übertragen; strukturiertes Angebot seit kurzem auch in Deutschland möglich.</w:t>
      </w:r>
    </w:p>
    <w:p>
      <w:r>
        <w:rPr>
          <w:color w:val="5A7D3A"/>
          <w:sz w:val="18"/>
        </w:rPr>
        <w:t>https://pubmed.ncbi.nlm.nih.gov/42552681/</w:t>
      </w:r>
    </w:p>
    <w:p>
      <w:pPr>
        <w:pStyle w:val="Heading2"/>
      </w:pPr>
      <w:r>
        <w:t>Schulkrankenschwestern unterverimpfter Gemeinden: HPV-Impfung braucht Systemunterstützung</w:t>
      </w:r>
    </w:p>
    <w:p>
      <w:r>
        <w:rPr>
          <w:i/>
          <w:color w:val="666666"/>
          <w:sz w:val="18"/>
        </w:rPr>
        <w:t>Avermark H et al.  ·  Hum Vaccin Immunother  ·  29.07.2026  ·  PMID 42527395</w:t>
      </w:r>
    </w:p>
    <w:p>
      <w:r>
        <w:t>Qualitative Studie mit 21 Interviews von Schulkrankenschwestern in unterversorgten Stockholmer Stadtteilen zur HPV-Impfung von Jugendlichen (Juni–November 2024).</w:t>
      </w:r>
    </w:p>
    <w:p>
      <w:r>
        <w:rPr>
          <w:b/>
        </w:rPr>
        <w:t xml:space="preserve">Ergebnis: </w:t>
      </w:r>
      <w:r>
        <w:t>Drei Themen: (1) Schulkrankenschwestern tragen HPV-Impfung allein, ohne institutionelle Unterstützung; (2) Duale Verantwortung zwischen Einzelbetreuung und Public Health schafft Rollenkonflikte; (3) Schwierigkeit im Umgang mit Tabuisierung von HPV und Sexualität. Hohe Arbeitsbelastung und normative Vorstellungen zu Sex behindern Uptake.</w:t>
      </w:r>
    </w:p>
    <w:p>
      <w:r>
        <w:rPr>
          <w:b/>
          <w:sz w:val="19"/>
        </w:rPr>
        <w:t xml:space="preserve">Übertragbarkeit: </w:t>
      </w:r>
      <w:r>
        <w:rPr>
          <w:sz w:val="19"/>
        </w:rPr>
        <w:t>Schweden, ähnliches Schulsystem und Impfprogramm; zeigt Systemdefizite bei dezentraler HPV-Angebotsumsetzung.</w:t>
      </w:r>
    </w:p>
    <w:p>
      <w:r>
        <w:rPr>
          <w:color w:val="5A7D3A"/>
          <w:sz w:val="18"/>
        </w:rPr>
        <w:t>https://pubmed.ncbi.nlm.nih.gov/42527395/</w:t>
      </w:r>
    </w:p>
    <w:p>
      <w:pPr>
        <w:pStyle w:val="Heading1"/>
      </w:pPr>
      <w:r>
        <w:t>Aufgenommen am 27.08.2026</w:t>
      </w:r>
    </w:p>
    <w:p>
      <w:pPr>
        <w:pStyle w:val="Heading2"/>
      </w:pPr>
      <w:r>
        <w:t>Finnlands zentrales Impfsystem erreicht hohe Quoten, kämpft aber mit Eigenverantwortung und Chancengerechtigkeit</w:t>
      </w:r>
    </w:p>
    <w:p>
      <w:r>
        <w:rPr>
          <w:i/>
          <w:color w:val="666666"/>
          <w:sz w:val="18"/>
        </w:rPr>
        <w:t>Pattyn J et al.  ·  Hum Vaccin Immunother  ·  26.08.2026  ·  PMID 42647143</w:t>
      </w:r>
    </w:p>
    <w:p>
      <w:r>
        <w:t>Eine strukturierte Literaturanalyse mit Experteneingaben beschrieb Finnlands National Vaccination Program (NVP) für Erwachsene, seine Stärken und Hürden.</w:t>
      </w:r>
    </w:p>
    <w:p>
      <w:r>
        <w:rPr>
          <w:b/>
        </w:rPr>
        <w:t xml:space="preserve">Ergebnis: </w:t>
      </w:r>
      <w:r>
        <w:t>Finnlands zentralisiertes, kostenlos bereitgestelltes NVP mit Bevölkerungsregistern erlaubt präzise Monitoring von Abdeckung, Sicherheit und Wirkung. Herausforderungen: Impfung ist individuelle Verantwortung (Compliance-Problem), Kosten für nicht-NVP-Impfstoffe erzeugen Ungleichheit, Impfvertrauen leicht rückläufig. Die CUBE wurde gegründet, um Verhaltensbarrieren zu verstehen.</w:t>
      </w:r>
    </w:p>
    <w:p>
      <w:r>
        <w:rPr>
          <w:b/>
          <w:sz w:val="19"/>
        </w:rPr>
        <w:t xml:space="preserve">Übertragbarkeit: </w:t>
      </w:r>
      <w:r>
        <w:rPr>
          <w:sz w:val="19"/>
        </w:rPr>
        <w:t>skandinavisch mit Impfregister; zeigt Möglichkeiten und Limits zentralisierter Systeme.</w:t>
      </w:r>
    </w:p>
    <w:p>
      <w:r>
        <w:rPr>
          <w:color w:val="5A7D3A"/>
          <w:sz w:val="18"/>
        </w:rPr>
        <w:t>https://pubmed.ncbi.nlm.nih.gov/42647143/</w:t>
      </w:r>
    </w:p>
    <w:p>
      <w:pPr>
        <w:pStyle w:val="Heading2"/>
      </w:pPr>
      <w:r>
        <w:t>HPV-Wissen und Vertrauen in Gesundheitsbehörden prägen Impfbereitschaft in Rumänien</w:t>
      </w:r>
    </w:p>
    <w:p>
      <w:r>
        <w:rPr>
          <w:i/>
          <w:color w:val="666666"/>
          <w:sz w:val="18"/>
        </w:rPr>
        <w:t>Nati ID et al.  ·  Med Sci (Basel)  ·  25.07.2026  ·  PMID 42646566</w:t>
      </w:r>
    </w:p>
    <w:p>
      <w:r>
        <w:t>Eine rumänische Querschnittsumfrage untersuchte kognitive und institutionelle Faktoren für HPV-Impfbereitschaft bei erwachsenen Frauen.</w:t>
      </w:r>
    </w:p>
    <w:p>
      <w:r>
        <w:rPr>
          <w:b/>
        </w:rPr>
        <w:t xml:space="preserve">Ergebnis: </w:t>
      </w:r>
      <w:r>
        <w:t>Unter 368 Befragten lag die Impfquote nur bei 28,6 %. Hohes HPV-Wissen korrelierte mit Impfbereitschaft (p=0,001), ebenso Vertrauen in Behörden. Digitale Fehlinformation zeigte schwachen negativen Zusammenhang mit Wissen, beeinflusste aber Impfbereitschaft nicht direkt. Die Autoren empfehlen Übergang von optionalem zu aktivem Angebot (Opt-out-Modell).</w:t>
      </w:r>
    </w:p>
    <w:p>
      <w:r>
        <w:rPr>
          <w:b/>
          <w:sz w:val="19"/>
        </w:rPr>
        <w:t xml:space="preserve">Übertragbarkeit: </w:t>
      </w:r>
      <w:r>
        <w:rPr>
          <w:sz w:val="19"/>
        </w:rPr>
        <w:t>Süd-/Osteuropa mit ähnlicher administrativer Struktur; zeigt Wirkung von Vertrauen und Struktur.</w:t>
      </w:r>
    </w:p>
    <w:p>
      <w:r>
        <w:rPr>
          <w:color w:val="5A7D3A"/>
          <w:sz w:val="18"/>
        </w:rPr>
        <w:t>https://pubmed.ncbi.nlm.nih.gov/42646566/</w:t>
      </w:r>
    </w:p>
    <w:p>
      <w:pPr>
        <w:pStyle w:val="Heading2"/>
      </w:pPr>
      <w:r>
        <w:t>Lesbarer Weblink in digitalen Impfeinladungen erhöht Vertrauen und Buchungsbereitschaft</w:t>
      </w:r>
    </w:p>
    <w:p>
      <w:r>
        <w:rPr>
          <w:i/>
          <w:color w:val="666666"/>
          <w:sz w:val="18"/>
        </w:rPr>
        <w:t>Oakley CM et al.  ·  J Med Internet Res  ·  25.08.2026  ·  PMID 42640841</w:t>
      </w:r>
    </w:p>
    <w:p>
      <w:r>
        <w:t>Drei randomisierte Onlinestudien mit britischen Teilnehmern testeten, wie das Design von Web-Links in digitalen COVID-19-Impfeinladungen Vertrauen und Buchungsbereitschaft beeinflusst.</w:t>
      </w:r>
    </w:p>
    <w:p>
      <w:r>
        <w:rPr>
          <w:b/>
        </w:rPr>
        <w:t xml:space="preserve">Ergebnis: </w:t>
      </w:r>
      <w:r>
        <w:t>Im Kontrollarm (komplizierter Link) waren 63 % unsicher oder unwillig, ihn zu nutzen. Ein klarer Link (‚vaccine-booking.nhs.uk') verbesserte das Vertrauen (β=0,26 in Exp.1, β=0,24 in Exp.3), ebenso ein Text-eingebetteter Link (β=0,18 in Exp.2, β=0,17 in Exp.3). Ein verkürzter Link brachte keinen Gewinn. Einfache, erkennbare Links erhöhten Buchungsintention über verbessertes Vertrauen und Host-Erkennung.</w:t>
      </w:r>
    </w:p>
    <w:p>
      <w:r>
        <w:rPr>
          <w:b/>
          <w:sz w:val="19"/>
        </w:rPr>
        <w:t xml:space="preserve">Übertragbarkeit: </w:t>
      </w:r>
      <w:r>
        <w:rPr>
          <w:sz w:val="19"/>
        </w:rPr>
        <w:t>Großbritannien; einfache Designprinzipien auch für deutsches Portal- und E-Mail-System anwendbar.</w:t>
      </w:r>
    </w:p>
    <w:p>
      <w:r>
        <w:rPr>
          <w:color w:val="5A7D3A"/>
          <w:sz w:val="18"/>
        </w:rPr>
        <w:t>https://pubmed.ncbi.nlm.nih.gov/42640841/</w:t>
      </w:r>
    </w:p>
    <w:p>
      <w:pPr>
        <w:pStyle w:val="Heading2"/>
      </w:pPr>
      <w:r>
        <w:t>Schwere Nebenwirkungen nach COVID-19-Auffrischung vermindern die Bereitschaft zur erneuten Impfung</w:t>
      </w:r>
    </w:p>
    <w:p>
      <w:r>
        <w:rPr>
          <w:i/>
          <w:color w:val="666666"/>
          <w:sz w:val="18"/>
        </w:rPr>
        <w:t>Huiberts AJ et al.  ·  Vaccine  ·  17.09.2026  ·  PMID 42603508</w:t>
      </w:r>
    </w:p>
    <w:p>
      <w:r>
        <w:t>Eine niederländische Kohortenstudie untersuchte, ob das Auftreten und die Schwere von Nebenwirkungen nach COVID-19-Auffrischimpfungen die Bereitschaft zur Impfung im Folgejahr beeinflussen.</w:t>
      </w:r>
    </w:p>
    <w:p>
      <w:r>
        <w:rPr>
          <w:b/>
        </w:rPr>
        <w:t xml:space="preserve">Ergebnis: </w:t>
      </w:r>
      <w:r>
        <w:t>Von 11.010 Geimpften (2022) waren 73,7 % im nächsten Jahr erneut geimpft. Systémische Nebenwirkungen 2022 waren mit niedrigerem Risiko für Wiederimpfung 2023 verbunden (OR 0,84, 95%-KI 0,76–0,93), besonders bei mittleren (OR 0,79) oder schweren Ereignissen (OR 0,45) sowie Dauer &gt;5 Tagen (OR 0,72). Das Muster wiederholte sich für 2024. Dies zeigt, dass direkte Erfahrungen mit Nebenwirkungen künftige Impfbereitschaft senken.</w:t>
      </w:r>
    </w:p>
    <w:p>
      <w:r>
        <w:rPr>
          <w:b/>
          <w:sz w:val="19"/>
        </w:rPr>
        <w:t xml:space="preserve">Übertragbarkeit: </w:t>
      </w:r>
      <w:r>
        <w:rPr>
          <w:sz w:val="19"/>
        </w:rPr>
        <w:t>Niederlande mit Impfregister; deutsche Routinedaten vergleichbar.</w:t>
      </w:r>
    </w:p>
    <w:p>
      <w:r>
        <w:rPr>
          <w:color w:val="5A7D3A"/>
          <w:sz w:val="18"/>
        </w:rPr>
        <w:t>https://pubmed.ncbi.nlm.nih.gov/42603508/</w:t>
      </w:r>
    </w:p>
    <w:p>
      <w:pPr>
        <w:pStyle w:val="Heading2"/>
      </w:pPr>
      <w:r>
        <w:t>Messaging zu ‚gesundem Altern' erhöht Impfbereitschaft bei älteren Erwachsenen in Frankreich</w:t>
      </w:r>
    </w:p>
    <w:p>
      <w:r>
        <w:rPr>
          <w:i/>
          <w:color w:val="666666"/>
          <w:sz w:val="18"/>
        </w:rPr>
        <w:t>Addario A et al.  ·  Vaccine  ·  17.09.2026  ·  PMID 42594637</w:t>
      </w:r>
    </w:p>
    <w:p>
      <w:r>
        <w:t>Eine französische Querschnittsumfrage mit Social-Marketing-Ansatz testete, welche Botschaften und Zugangsmerkmale die Impfintention bei Älteren (≥60 Jahren) verbessern.</w:t>
      </w:r>
    </w:p>
    <w:p>
      <w:r>
        <w:rPr>
          <w:b/>
        </w:rPr>
        <w:t xml:space="preserve">Ergebnis: </w:t>
      </w:r>
      <w:r>
        <w:t>Von 2.416 Befragten hatten 15,6 % hohe, 81,7 % mittlere und 2,8 % niedrige Impfbereitschaft. Zustimmung, dass Impfung zu gesundem Altern beiträgt, stieg von 3 % (niedrig) auf 56 % (mittel) und 78 % (hoch). Botschaften zu Schlag- und Herzinfarktrisiko zeigten höchste Intention (69–67 %). Gültigkeitsvoucher wurden positiv aufgenommen (57–81 % würden impfen lassen). Ärzte waren vertrauteste Informationsquelle (93–95 %).</w:t>
      </w:r>
    </w:p>
    <w:p>
      <w:r>
        <w:rPr>
          <w:b/>
          <w:sz w:val="19"/>
        </w:rPr>
        <w:t xml:space="preserve">Übertragbarkeit: </w:t>
      </w:r>
      <w:r>
        <w:rPr>
          <w:sz w:val="19"/>
        </w:rPr>
        <w:t>Frankreich mit ähnlichem Versicherungssystem; Fokus auf Rahmung und Zugang in DACH übertragbar.</w:t>
      </w:r>
    </w:p>
    <w:p>
      <w:r>
        <w:rPr>
          <w:color w:val="5A7D3A"/>
          <w:sz w:val="18"/>
        </w:rPr>
        <w:t>https://pubmed.ncbi.nlm.nih.gov/42594637/</w:t>
      </w:r>
    </w:p>
    <w:p>
      <w:pPr>
        <w:pStyle w:val="Heading2"/>
      </w:pPr>
      <w:r>
        <w:t>Omicron-JN.1-Impfstoff bot in den Niederlanden nur begrenzte Zusatzschutzwirkung</w:t>
      </w:r>
    </w:p>
    <w:p>
      <w:r>
        <w:rPr>
          <w:i/>
          <w:color w:val="666666"/>
          <w:sz w:val="18"/>
        </w:rPr>
        <w:t>Huiberts AJ et al.  ·  Vaccine  ·  17.09.2026  ·  PMID 42585808</w:t>
      </w:r>
    </w:p>
    <w:p>
      <w:r>
        <w:t>Eine prospektive holländische Kohortenstudie quantifizierte die Wirksamkeit der JN.1-Varianten-angepassten COVID-19-Impfung gegen Infektionen von September 2024 bis Februar 2025.</w:t>
      </w:r>
    </w:p>
    <w:p>
      <w:r>
        <w:rPr>
          <w:b/>
        </w:rPr>
        <w:t xml:space="preserve">Ergebnis: </w:t>
      </w:r>
      <w:r>
        <w:t>Von 4.490 Teilnehmern &lt;60 Jahren waren 29 % geimpft, von 19.349 Älteren 74 %. Bei 2.142 Infektionen betrug die Impfwirksamkeit 16 % (&lt;60 Jahre, 95%-KI –11–36) und 13 % (≥60 Jahre, 95%-KI 2–23). Gegen KP.3.1.1 und XEC unterschied sich der Schutz nicht signifikant. Die begrenzte Schutzwirkung in einer Phase niedriger Inzidenz deutet auf waning immunity hin.</w:t>
      </w:r>
    </w:p>
    <w:p>
      <w:r>
        <w:rPr>
          <w:b/>
          <w:sz w:val="19"/>
        </w:rPr>
        <w:t xml:space="preserve">Übertragbarkeit: </w:t>
      </w:r>
      <w:r>
        <w:rPr>
          <w:sz w:val="19"/>
        </w:rPr>
        <w:t>Niederlande mit vollständiger Impfdokumentation und genetischer Variantenbestimmung.</w:t>
      </w:r>
    </w:p>
    <w:p>
      <w:r>
        <w:rPr>
          <w:color w:val="5A7D3A"/>
          <w:sz w:val="18"/>
        </w:rPr>
        <w:t>https://pubmed.ncbi.nlm.nih.gov/42585808/</w:t>
      </w:r>
    </w:p>
    <w:p>
      <w:pPr>
        <w:pStyle w:val="Heading1"/>
      </w:pPr>
      <w:r>
        <w:t>Aufgenommen am 26.08.2026</w:t>
      </w:r>
    </w:p>
    <w:p>
      <w:pPr>
        <w:pStyle w:val="Heading2"/>
      </w:pPr>
      <w:r>
        <w:t>Influenza-Impfskepsis bei georgischen Gesundheitspersonal senkt Impfquote über drei Jahre</w:t>
      </w:r>
    </w:p>
    <w:p>
      <w:r>
        <w:rPr>
          <w:i/>
          <w:color w:val="666666"/>
          <w:sz w:val="18"/>
        </w:rPr>
        <w:t>Artemchuk O et al.  ·  PLoS One  ·  25.08.2026  ·  PMID 42640914</w:t>
      </w:r>
    </w:p>
    <w:p>
      <w:r>
        <w:t>Prospektive Kohortenstudie in Georgien mit 403 Krankenhausmitarbeitenden über drei Influenza-Saisons (2021–2024): Welche Faktoren beeinflussen die Annahme der jährlichen Influenza-Impfung?</w:t>
      </w:r>
    </w:p>
    <w:p>
      <w:r>
        <w:rPr>
          <w:b/>
        </w:rPr>
        <w:t xml:space="preserve">Ergebnis: </w:t>
      </w:r>
      <w:r>
        <w:t>72 % erhielten mindestens einmal die Impfung, 28 % nie. Mangelndes Vertrauen in Sicherheit (aOR 0,27) und Wirksamkeit (aOR 0,36) sowie das Alter 40–49 Jahre (aOR 2,67) waren die Hauptfaktoren. Eine Klinik hatte deutlich niedrigere Quoten (aOR 0,06).</w:t>
      </w:r>
    </w:p>
    <w:p>
      <w:r>
        <w:rPr>
          <w:b/>
          <w:sz w:val="19"/>
        </w:rPr>
        <w:t xml:space="preserve">Übertragbarkeit: </w:t>
      </w:r>
      <w:r>
        <w:rPr>
          <w:sz w:val="19"/>
        </w:rPr>
        <w:t>Kaukasus-Region mit WHO-Partner, aber begrenzte Übertragbarkeit auf deutsches System ohne Impfregister.</w:t>
      </w:r>
    </w:p>
    <w:p>
      <w:r>
        <w:rPr>
          <w:color w:val="5A7D3A"/>
          <w:sz w:val="18"/>
        </w:rPr>
        <w:t>https://pubmed.ncbi.nlm.nih.gov/42640914/</w:t>
      </w:r>
    </w:p>
    <w:p>
      <w:pPr>
        <w:pStyle w:val="Heading2"/>
      </w:pPr>
      <w:r>
        <w:t>Impfquote bei 24-Monate-Alten in Italien von 92,75 % auf 94,57 % durch Reorganisation der Dienste</w:t>
      </w:r>
    </w:p>
    <w:p>
      <w:r>
        <w:rPr>
          <w:i/>
          <w:color w:val="666666"/>
          <w:sz w:val="18"/>
        </w:rPr>
        <w:t>Scala A et al.  ·  Front Public Health  ·  10.08.2026  ·  PMID 42638716</w:t>
      </w:r>
    </w:p>
    <w:p>
      <w:r>
        <w:t>Qualitäts-Verbesserungsprojekt in ASL Napoli 3 Sud 2022–2024 mit M.A.S.T.E.R.-Framework: Wie ließ sich die gefallene Abdeckung von Primärserien wieder heben?</w:t>
      </w:r>
    </w:p>
    <w:p>
      <w:r>
        <w:rPr>
          <w:b/>
        </w:rPr>
        <w:t xml:space="preserve">Ergebnis: </w:t>
      </w:r>
      <w:r>
        <w:t>Quote 2023: 92,75 % (Rückgang von 94,57 % 2022). Nach Interventionen (standardisierte Erinnerungen, digitale Kalender, Schulung, Logistik-Überprüfung): 2024 → 94,57 % (+1,82 Pp.). Erinnerungen stiegen von 1.248 auf 2.136, vollendete Nachholtermine von 286 auf 612. Pädiater-Kooperation von 54,2 % auf 87,3 %.</w:t>
      </w:r>
    </w:p>
    <w:p>
      <w:r>
        <w:rPr>
          <w:b/>
          <w:sz w:val="19"/>
        </w:rPr>
        <w:t xml:space="preserve">Übertragbarkeit: </w:t>
      </w:r>
      <w:r>
        <w:rPr>
          <w:sz w:val="19"/>
        </w:rPr>
        <w:t>Italien, südeuropäisches Sozialversicherungssystem, Dokumentation ähnlich Deutschland-Anforderungen.</w:t>
      </w:r>
    </w:p>
    <w:p>
      <w:r>
        <w:rPr>
          <w:color w:val="5A7D3A"/>
          <w:sz w:val="18"/>
        </w:rPr>
        <w:t>https://pubmed.ncbi.nlm.nih.gov/42638716/</w:t>
      </w:r>
    </w:p>
    <w:p>
      <w:pPr>
        <w:pStyle w:val="Heading2"/>
      </w:pPr>
      <w:r>
        <w:t>Schwangere in Gambia: Lücken beim COVID-19-Impfstoffzugang trotz neuer Leitlinien</w:t>
      </w:r>
    </w:p>
    <w:p>
      <w:r>
        <w:rPr>
          <w:i/>
          <w:color w:val="666666"/>
          <w:sz w:val="18"/>
        </w:rPr>
        <w:t>Nkereuwem O et al.  ·  BMJ Open  ·  20.08.2026  ·  PMID 42624601</w:t>
      </w:r>
    </w:p>
    <w:p>
      <w:r>
        <w:t>Qualitative Studie in Gambia mit 15 Fachpersonen und 29 Workshop-Teilnehmenden: Welche Barrieren verhindern, dass Schwangere COVID-19-Impfstoffe erhalten?</w:t>
      </w:r>
    </w:p>
    <w:p>
      <w:r>
        <w:rPr>
          <w:b/>
        </w:rPr>
        <w:t xml:space="preserve">Ergebnis: </w:t>
      </w:r>
      <w:r>
        <w:t>Evolvierende Sicherheitsleitlinien minderten Beratungsvertrauen und verstärkten Vaccine Hesitancy. Fragmentierte Dienste (nicht in Schwangerenvorsorge integriert), schwache Dokumentation von Nebenwirkungen und Misinformation waren Kernprobleme. Strategien: frühe Schulung, Koordination über Berufsgruppen, gestärkte Logistik und Sicherheitsmeldung.</w:t>
      </w:r>
    </w:p>
    <w:p>
      <w:r>
        <w:rPr>
          <w:b/>
          <w:sz w:val="19"/>
        </w:rPr>
        <w:t xml:space="preserve">Übertragbarkeit: </w:t>
      </w:r>
      <w:r>
        <w:rPr>
          <w:sz w:val="19"/>
        </w:rPr>
        <w:t>Subsahara-Afrika, aber Befunde zu systemischer Fragmentierung relevant für Integrationsfragen.</w:t>
      </w:r>
    </w:p>
    <w:p>
      <w:r>
        <w:rPr>
          <w:color w:val="5A7D3A"/>
          <w:sz w:val="18"/>
        </w:rPr>
        <w:t>https://pubmed.ncbi.nlm.nih.gov/42624601/</w:t>
      </w:r>
    </w:p>
    <w:p>
      <w:pPr>
        <w:pStyle w:val="Heading1"/>
      </w:pPr>
      <w:r>
        <w:t>Aufgenommen am 24.08.2026</w:t>
      </w:r>
    </w:p>
    <w:p>
      <w:pPr>
        <w:pStyle w:val="Heading2"/>
      </w:pPr>
      <w:r>
        <w:t>Hochdosis-Grippeimpfstoff senkte Krankenhauseinweisungen bei Altenheimbewohnern um 31 Prozent</w:t>
      </w:r>
    </w:p>
    <w:p>
      <w:r>
        <w:rPr>
          <w:i/>
          <w:color w:val="666666"/>
          <w:sz w:val="18"/>
        </w:rPr>
        <w:t>Bricout H et al.  ·  Age Ageing  ·  03.08.2026  ·  PMID 42632918</w:t>
      </w:r>
    </w:p>
    <w:p>
      <w:r>
        <w:t>Französische Kohortenstudie verglich Wirksamkeit von Hochdosis- versus Standarddosis-Grippeimpfstoff gegen grippebedingte Krankenhauseinweisungen bei Bewohnern von Altenpflegeeinrichtungen (2022–2023).</w:t>
      </w:r>
    </w:p>
    <w:p>
      <w:r>
        <w:rPr>
          <w:b/>
        </w:rPr>
        <w:t xml:space="preserve">Ergebnis: </w:t>
      </w:r>
      <w:r>
        <w:t>Hochdosis-Impfstoff reduzierte grippebedingte Krankenhauseinweisungen um 30,8 % (95 % KI: 11,8–45,7 %; p = 0,0029), verglichen mit Standarddosis. Bei Pneumonie oder kombinierten Ergebnissen zeigte sich kein signifikanter Unterschied. Die Studie stützt bevorzugte Verwendung des Hochdosis-Impfstoffs in dieser Hochrisikogruppe.</w:t>
      </w:r>
    </w:p>
    <w:p>
      <w:r>
        <w:rPr>
          <w:b/>
          <w:sz w:val="19"/>
        </w:rPr>
        <w:t xml:space="preserve">Übertragbarkeit: </w:t>
      </w:r>
      <w:r>
        <w:rPr>
          <w:sz w:val="19"/>
        </w:rPr>
        <w:t>Frankreich mit vergleichbarem Sozialversicherungssystem und Langzeitpflege-Dokumentation wie Deutschland.</w:t>
      </w:r>
    </w:p>
    <w:p>
      <w:r>
        <w:rPr>
          <w:color w:val="5A7D3A"/>
          <w:sz w:val="18"/>
        </w:rPr>
        <w:t>https://pubmed.ncbi.nlm.nih.gov/42632918/</w:t>
      </w:r>
    </w:p>
    <w:p>
      <w:pPr>
        <w:pStyle w:val="Heading1"/>
      </w:pPr>
      <w:r>
        <w:t>Aufgenommen am 22.08.2026</w:t>
      </w:r>
    </w:p>
    <w:p>
      <w:pPr>
        <w:pStyle w:val="Heading2"/>
      </w:pPr>
      <w:r>
        <w:t>HPV-Impfung senkt Häufigkeit von Larynx- und Bindehautpapillomen in Dänemark</w:t>
      </w:r>
    </w:p>
    <w:p>
      <w:r>
        <w:rPr>
          <w:i/>
          <w:color w:val="666666"/>
          <w:sz w:val="18"/>
        </w:rPr>
        <w:t>Aakilde M et al.  ·  APMIS  ·  Aug. 2026  ·  PMID 42619272</w:t>
      </w:r>
    </w:p>
    <w:p>
      <w:r>
        <w:t>Register-Studie: 33 juvenile Larynx-, 134 Bindehautpapillom-Patienten 2005–2024 mit HPV-Subtypisierung und Impfstatus-Abfrage.</w:t>
      </w:r>
    </w:p>
    <w:p>
      <w:r>
        <w:rPr>
          <w:b/>
        </w:rPr>
        <w:t xml:space="preserve">Ergebnis: </w:t>
      </w:r>
      <w:r>
        <w:t>Larynxpapillom-Inzidenz sank von 0,190 pro 100.000 (2005–2013) auf 0,107 (2014–2024), nicht signifikant (p=0,145); keine Fälle bei geimpften Müttern. Bindehautpapillom-Inzidenz sank signifikant um 5,3 % pro Jahr (p=0,002). HPV-6/-11 in 74,1 % nachgewiesen. Studie zeigt Schutzeffekt des Impfprogramms auf Bindehautpapillome, juvenile Larynxpapillome bleiben selten und nur bei ungeimpften Müttern.</w:t>
      </w:r>
    </w:p>
    <w:p>
      <w:r>
        <w:rPr>
          <w:b/>
          <w:sz w:val="19"/>
        </w:rPr>
        <w:t xml:space="preserve">Übertragbarkeit: </w:t>
      </w:r>
      <w:r>
        <w:rPr>
          <w:sz w:val="19"/>
        </w:rPr>
        <w:t>Dänemark, nationales Register, vergleichbare nordeuropäische Impfpraxis</w:t>
      </w:r>
    </w:p>
    <w:p>
      <w:r>
        <w:rPr>
          <w:color w:val="5A7D3A"/>
          <w:sz w:val="18"/>
        </w:rPr>
        <w:t>https://pubmed.ncbi.nlm.nih.gov/42619272/</w:t>
      </w:r>
    </w:p>
    <w:p>
      <w:pPr>
        <w:pStyle w:val="Heading2"/>
      </w:pPr>
      <w:r>
        <w:t>Hepatitis-B-Impfquoten bei trans und nicht-binären Menschen in Deutschland: Wer bleibt ungeimpft?</w:t>
      </w:r>
    </w:p>
    <w:p>
      <w:r>
        <w:rPr>
          <w:i/>
          <w:color w:val="666666"/>
          <w:sz w:val="18"/>
        </w:rPr>
        <w:t>Biallas R et al.  ·  BMC Public Health  ·  11.08.2026  ·  PMID 42576212</w:t>
      </w:r>
    </w:p>
    <w:p>
      <w:r>
        <w:t>Online-Survey von 2.358 trans und nicht-binären Personen zu Hepatitis-B-Diagnosen und Impfstatus, RKI-Studie.</w:t>
      </w:r>
    </w:p>
    <w:p>
      <w:r>
        <w:rPr>
          <w:b/>
        </w:rPr>
        <w:t xml:space="preserve">Ergebnis: </w:t>
      </w:r>
      <w:r>
        <w:t>HBV-Prävalenz 0,6 %, Impfquote 56,3 %. Quote höher bei Personen auf dem männlichen Spektrum (PR 1,29) als weiblich/nicht-binär; höher mit Hochschulbildung (PR 1,44) und in Großstädten (PR 1,22). 550 (21,7 %) waren impfempfohlen; von 213 mit negativem Impfstatus waren 65 % unter 30 und hätten Routine-Impfung erhalten sollen. Wissenslücken zu Hepatitis als Hauptprädiktor für niedrige Quote identifiziert.</w:t>
      </w:r>
    </w:p>
    <w:p>
      <w:r>
        <w:rPr>
          <w:b/>
          <w:sz w:val="19"/>
        </w:rPr>
        <w:t xml:space="preserve">Übertragbarkeit: </w:t>
      </w:r>
      <w:r>
        <w:rPr>
          <w:sz w:val="19"/>
        </w:rPr>
        <w:t>RKI-Studie, deutsche Hochrisikopopulation; Ungleichheit nach Bildung, Geschlechtsidentität und Urbanisierung</w:t>
      </w:r>
    </w:p>
    <w:p>
      <w:r>
        <w:rPr>
          <w:color w:val="5A7D3A"/>
          <w:sz w:val="18"/>
        </w:rPr>
        <w:t>https://pubmed.ncbi.nlm.nih.gov/42576212/</w:t>
      </w:r>
    </w:p>
    <w:p>
      <w:pPr>
        <w:pStyle w:val="Heading1"/>
      </w:pPr>
      <w:r>
        <w:t>Aufgenommen am 21.08.2026</w:t>
      </w:r>
    </w:p>
    <w:p>
      <w:pPr>
        <w:pStyle w:val="Heading2"/>
      </w:pPr>
      <w:r>
        <w:t>MenACWY-Impfung und Meningokokken-Carriage bei Studierenden: Wirksamkeitsevidenz aus Carriage-Monitoring</w:t>
      </w:r>
    </w:p>
    <w:p>
      <w:r>
        <w:rPr>
          <w:i/>
          <w:color w:val="666666"/>
          <w:sz w:val="18"/>
        </w:rPr>
        <w:t>Harvey-Cowlishaw T et al.  ·  Front Public Health  ·  05.08.2026  ·  PMID 42621093</w:t>
      </w:r>
    </w:p>
    <w:p>
      <w:r>
        <w:t>Querschnittstudie (September + November 2024) an 400 Studierenden einer UK-Universität mit Keimkultur/PCR und Vollgenomsequenzierung von Meningokokken-Carriern.</w:t>
      </w:r>
    </w:p>
    <w:p>
      <w:r>
        <w:rPr>
          <w:b/>
        </w:rPr>
        <w:t xml:space="preserve">Ergebnis: </w:t>
      </w:r>
      <w:r>
        <w:t>Carriage-Rate Sepember 12,5 %, November 25,3 % (p&lt;0,05). Genogruppe C: null Isolate (100 % Reduktion durch MenACWY-Vakzinierung). Genogruppe Y: null verkappselte Isolate in dieser Kohorte, konsistent mit Impfeffektivität. Genogruppe B: 34,3 % (multipler Clonal Complex, teils hyperinvasiv). MenACWY schützt Studierende effektiv vor W/Y-Carriage; Genogruppe B bleibt Risiko.</w:t>
      </w:r>
    </w:p>
    <w:p>
      <w:r>
        <w:rPr>
          <w:b/>
          <w:sz w:val="19"/>
        </w:rPr>
        <w:t xml:space="preserve">Übertragbarkeit: </w:t>
      </w:r>
      <w:r>
        <w:rPr>
          <w:sz w:val="19"/>
        </w:rPr>
        <w:t>UK, Kariologie-Surveillance, vergleichbare adoleszente Impfprogramme</w:t>
      </w:r>
    </w:p>
    <w:p>
      <w:r>
        <w:rPr>
          <w:color w:val="5A7D3A"/>
          <w:sz w:val="18"/>
        </w:rPr>
        <w:t>https://pubmed.ncbi.nlm.nih.gov/42621093/</w:t>
      </w:r>
    </w:p>
    <w:p>
      <w:pPr>
        <w:pStyle w:val="Heading2"/>
      </w:pPr>
      <w:r>
        <w:t>Vorbuchte Impftermine für COVID-19: Burden-Vergleich und Wirkung auf Uptake-Intention</w:t>
      </w:r>
    </w:p>
    <w:p>
      <w:r>
        <w:rPr>
          <w:i/>
          <w:color w:val="666666"/>
          <w:sz w:val="18"/>
        </w:rPr>
        <w:t>Sanders JG et al.  ·  Vaccine  ·  30.08.2026  ·  PMID 42546637</w:t>
      </w:r>
    </w:p>
    <w:p>
      <w:r>
        <w:t>Formative Evaluationsstudie (Niederlande) in zwei Phasen – qualitativ (15 Interviews) und experimentell (n=1.886) – zur Wirkung von Vorbuchung vs. Selbstbuchung auf Impfintention.</w:t>
      </w:r>
    </w:p>
    <w:p>
      <w:r>
        <w:rPr>
          <w:b/>
        </w:rPr>
        <w:t xml:space="preserve">Ergebnis: </w:t>
      </w:r>
      <w:r>
        <w:t>Phase 1: Vorbuchung wurde als fürsorglich und auch als bevormundend wahrgenommen. Phase 2: Selbstbuchung wurde als weniger belastend wahrgenommen (β=−0,23, p&lt;0,05), führte aber nicht zu höherer Impfintention (aOR=1,11). Auch bei zögerlichen Personen kein Unterschied (aOR=0,88). Vorbuchung verändert COVID-19-Intention nicht – konservative Empfehlung: Selbstbuchung für bereits geimpfte Ältere.</w:t>
      </w:r>
    </w:p>
    <w:p>
      <w:r>
        <w:rPr>
          <w:b/>
          <w:sz w:val="19"/>
        </w:rPr>
        <w:t xml:space="preserve">Übertragbarkeit: </w:t>
      </w:r>
      <w:r>
        <w:rPr>
          <w:sz w:val="19"/>
        </w:rPr>
        <w:t>Niederlande (RIVM), vergleichbares Versicherungssystem und Impfinfrastruktur</w:t>
      </w:r>
    </w:p>
    <w:p>
      <w:r>
        <w:rPr>
          <w:color w:val="5A7D3A"/>
          <w:sz w:val="18"/>
        </w:rPr>
        <w:t>https://pubmed.ncbi.nlm.nih.gov/42546637/</w:t>
      </w:r>
    </w:p>
    <w:p>
      <w:pPr>
        <w:pStyle w:val="Heading1"/>
      </w:pPr>
      <w:r>
        <w:t>Aufgenommen am 20.08.2026</w:t>
      </w:r>
    </w:p>
    <w:p>
      <w:pPr>
        <w:pStyle w:val="Heading2"/>
      </w:pPr>
      <w:r>
        <w:t>Impfquoten in der Schwangerschaft in Deutschland 2004–2022: Was bleibt ungenutzt?</w:t>
      </w:r>
    </w:p>
    <w:p>
      <w:r>
        <w:rPr>
          <w:i/>
          <w:color w:val="666666"/>
          <w:sz w:val="18"/>
        </w:rPr>
        <w:t>Mulanje L et al.  ·  Sci Rep  ·  18.08.2026  ·  PMID 42613346</w:t>
      </w:r>
    </w:p>
    <w:p>
      <w:r>
        <w:t>Eine Analyse von über 2,8 Mio. Schwangerschaften in deutschen Krankenkassendaten zeigte, wie sich Impfquoten in der Schwangerschaft entwickelten.</w:t>
      </w:r>
    </w:p>
    <w:p>
      <w:r>
        <w:rPr>
          <w:b/>
        </w:rPr>
        <w:t xml:space="preserve">Ergebnis: </w:t>
      </w:r>
      <w:r>
        <w:t>Influenza-Impfquote bei Schwangeren stieg von 2 % (2004–2009) auf 19 % (2020–2022), Pertussis von 3 % (2015–2019) auf 37 % (2020–2022). Weniger als 50 % der empfohlenen Schwangerschaftsimpfungen wurden durchgeführt; Gründe bleiben unklar. Etwa 0,3 % erhielten kontraindizierte Lebendimpfstoffe.</w:t>
      </w:r>
    </w:p>
    <w:p>
      <w:r>
        <w:rPr>
          <w:b/>
          <w:sz w:val="19"/>
        </w:rPr>
        <w:t xml:space="preserve">Übertragbarkeit: </w:t>
      </w:r>
      <w:r>
        <w:rPr>
          <w:sz w:val="19"/>
        </w:rPr>
        <w:t>Deutsche Krankenkassendaten mit vollständiger Erfassung, direkt übertragbar auf deutsches Versorgungssystem.</w:t>
      </w:r>
    </w:p>
    <w:p>
      <w:r>
        <w:rPr>
          <w:color w:val="5A7D3A"/>
          <w:sz w:val="18"/>
        </w:rPr>
        <w:t>https://pubmed.ncbi.nlm.nih.gov/42613346/</w:t>
      </w:r>
    </w:p>
    <w:p>
      <w:pPr>
        <w:pStyle w:val="Heading2"/>
      </w:pPr>
      <w:r>
        <w:t>HPV-Impfung für Adoleszente: Verhaltenswissenschaftliche Entwicklung einer Intervention (15–17 Jahre)</w:t>
      </w:r>
    </w:p>
    <w:p>
      <w:r>
        <w:rPr>
          <w:i/>
          <w:color w:val="666666"/>
          <w:sz w:val="18"/>
        </w:rPr>
        <w:t>Flood T et al.  ·  PLoS One  ·  14.08.2026  ·  PMID 42599892</w:t>
      </w:r>
    </w:p>
    <w:p>
      <w:r>
        <w:t>Qualitative Studie mit fokussierten Interviews (Impfschwestern n=26, Schüler n=34, Lehrer/Schulnursen n=18) zur Entwicklung eines theoriegestützten HPV-Interventionsangebots.</w:t>
      </w:r>
    </w:p>
    <w:p>
      <w:r>
        <w:rPr>
          <w:b/>
        </w:rPr>
        <w:t xml:space="preserve">Ergebnis: </w:t>
      </w:r>
      <w:r>
        <w:t>Systematische Übersicht fand Mangel an Interventionen für diese Altersgruppe. Identifiziert wurden 12 Barrieren für drei Zielverhalten (Schülerentscheidung, Professionalisierung, öffentliche Akzeptanz). Entwickelte Intervention: schulgestützte HPV-Bildung mit Impfangebot, öffentliche Medienkampagne; Erfolg hängt von Unterstützung durch Behörden und Lehrplanintegration ab.</w:t>
      </w:r>
    </w:p>
    <w:p>
      <w:r>
        <w:rPr>
          <w:b/>
          <w:sz w:val="19"/>
        </w:rPr>
        <w:t xml:space="preserve">Übertragbarkeit: </w:t>
      </w:r>
      <w:r>
        <w:rPr>
          <w:sz w:val="19"/>
        </w:rPr>
        <w:t>Nordirland, ähnliche schulbasierte Impfstrukturen wie Deutschland, Barrier-Identifizierung übertragbar.</w:t>
      </w:r>
    </w:p>
    <w:p>
      <w:r>
        <w:rPr>
          <w:color w:val="5A7D3A"/>
          <w:sz w:val="18"/>
        </w:rPr>
        <w:t>https://pubmed.ncbi.nlm.nih.gov/42599892/</w:t>
      </w:r>
    </w:p>
    <w:p>
      <w:pPr>
        <w:pStyle w:val="Heading2"/>
      </w:pPr>
      <w:r>
        <w:t>COVID-19-Sterblichkeit bei Menschen mit schweren psychischen Erkrankungen: Übersterblichkeit trotz Impfung</w:t>
      </w:r>
    </w:p>
    <w:p>
      <w:r>
        <w:rPr>
          <w:i/>
          <w:color w:val="666666"/>
          <w:sz w:val="18"/>
        </w:rPr>
        <w:t>Chilman N et al.  ·  Lancet Psychiatry  ·  Sept. 2026  ·  PMID 42586081</w:t>
      </w:r>
    </w:p>
    <w:p>
      <w:r>
        <w:t>Gesamtbevölkerungsstudie in England (n=13.463.945 COVID-19-Fälle, davon 1,19 % mit schwerer psychischer Erkrankung) auf Mortalität über drei Pandemiephasen mit unterschiedlichem Impfzugang.</w:t>
      </w:r>
    </w:p>
    <w:p>
      <w:r>
        <w:rPr>
          <w:b/>
        </w:rPr>
        <w:t xml:space="preserve">Ergebnis: </w:t>
      </w:r>
      <w:r>
        <w:t>Übersterblichkeit bei schwerer psychischer Erkrankung: aHR 1,56 (95%-KI 1,53–1,59). In Phase 1 (vor Impfung): aHR 1,27; Phase 2 (Impfstart): aHR 1,56; Phase 3 (nach Impfung): aHR 1,55. Impfquoten initial höher (73,2 % vs. 67,4 %), am Ende aber niedriger (79,4 % vs. 87,2 %). Impfung minderte Risiko nur partiell (aHR 1,25, 95%-KI 1,17–1,34).</w:t>
      </w:r>
    </w:p>
    <w:p>
      <w:r>
        <w:rPr>
          <w:b/>
          <w:sz w:val="19"/>
        </w:rPr>
        <w:t xml:space="preserve">Übertragbarkeit: </w:t>
      </w:r>
      <w:r>
        <w:rPr>
          <w:sz w:val="19"/>
        </w:rPr>
        <w:t>England-Gesamtbevölkerung, nationales Gesundheitssystem wie Deutschland, Ungleichheitsfrage zentral.</w:t>
      </w:r>
    </w:p>
    <w:p>
      <w:r>
        <w:rPr>
          <w:color w:val="5A7D3A"/>
          <w:sz w:val="18"/>
        </w:rPr>
        <w:t>https://pubmed.ncbi.nlm.nih.gov/42586081/</w:t>
      </w:r>
    </w:p>
    <w:p>
      <w:pPr>
        <w:pStyle w:val="Heading1"/>
      </w:pPr>
      <w:r>
        <w:t>Aufgenommen am 19.08.2026</w:t>
      </w:r>
    </w:p>
    <w:p>
      <w:pPr>
        <w:pStyle w:val="Heading2"/>
      </w:pPr>
      <w:r>
        <w:t>Psychisches Wohlbefinden und COVID-19-Impfquote: 2,68-fach höherer Impfanteil bei hohem CASP-Wohlbefind</w:t>
      </w:r>
    </w:p>
    <w:p>
      <w:r>
        <w:rPr>
          <w:i/>
          <w:color w:val="666666"/>
          <w:sz w:val="18"/>
        </w:rPr>
        <w:t>Gao Y et al.  ·  Hum Vaccin Immunother  ·  18.08.2026  ·  PMID 42610257</w:t>
      </w:r>
    </w:p>
    <w:p>
      <w:r>
        <w:t>Prospektive Analyse von 29.597 europäischen Erwachsenen ≥50 Jahren (SHARE-Studie, 27 Länder + Israel) zur Assoziation zwischen psychischem Wohlbefinden (CASP-12-Skala) und COVID-19-Impfung, Infektion und Long COVID.</w:t>
      </w:r>
    </w:p>
    <w:p>
      <w:r>
        <w:rPr>
          <w:b/>
        </w:rPr>
        <w:t xml:space="preserve">Ergebnis: </w:t>
      </w:r>
      <w:r>
        <w:t>Personen mit höchster CASP-12-Punktzahl vs. niedrigster: OR für COVID-19-Impfung 2,68 (95%-KI 2,44–2,96). Reduktion von Long COVID um 23% (OR 0,77, 95%-KI 0,64–0,93). Kein signifikanter Effekt auf Infektionsrisiko (OR 0,87, 95%-KI 0,74–1,02). Höheres psychisches Wohlbefinden mit verbessertem Impfstatus und reduziertem Long-COVID-Risiko assoziiert.</w:t>
      </w:r>
    </w:p>
    <w:p>
      <w:r>
        <w:rPr>
          <w:b/>
          <w:sz w:val="19"/>
        </w:rPr>
        <w:t xml:space="preserve">Übertragbarkeit: </w:t>
      </w:r>
      <w:r>
        <w:rPr>
          <w:sz w:val="19"/>
        </w:rPr>
        <w:t>27 europäische Länder, generalisierbar auf deutschsprachigen Raum</w:t>
      </w:r>
    </w:p>
    <w:p>
      <w:r>
        <w:rPr>
          <w:color w:val="5A7D3A"/>
          <w:sz w:val="18"/>
        </w:rPr>
        <w:t>https://pubmed.ncbi.nlm.nih.gov/42610257/</w:t>
      </w:r>
    </w:p>
    <w:p>
      <w:pPr>
        <w:pStyle w:val="Heading2"/>
      </w:pPr>
      <w:r>
        <w:t>Pädiater-Wissenlücken zur RSV-Immunisierung: 55,9% mit durchschnittlichem bis niedrigem Nirsevimab-Wissen</w:t>
      </w:r>
    </w:p>
    <w:p>
      <w:r>
        <w:rPr>
          <w:i/>
          <w:color w:val="666666"/>
          <w:sz w:val="18"/>
        </w:rPr>
        <w:t>Di Chiara C et al.  ·  PLoS One  ·  17.08.2026  ·  PMID 42607062</w:t>
      </w:r>
    </w:p>
    <w:p>
      <w:r>
        <w:t>Befragung von 578 Pädiatern (Rücklaufquote 19,3%) in Spanien, Italien und Zypern/Griechenland zu Wissen, Einstellungen und Barrieren bezüglich neuer RSV-Impfstrategen.</w:t>
      </w:r>
    </w:p>
    <w:p>
      <w:r>
        <w:rPr>
          <w:b/>
        </w:rPr>
        <w:t xml:space="preserve">Ergebnis: </w:t>
      </w:r>
      <w:r>
        <w:t>50% Spanien, 40% Italien, 10% Zypern/Griechenland. Nur 245 Befragte (55,9%) berichteten durchschnittliches bis niedriges Nirsevimab-Wissen, 375 (86,0%) zeigten gleiches für Mutterimpfstoff (p=0,002). Trotz Wissenslücken: 311 (85,9%) bereit, Nirsevimab zu verabreichen, 319 (92,2%) unterstützten es für alle Neugeborenen. Barrieren (20,0% genannt): Unbekannt und logistische Herausforderungen. 165 (47,4%) bevorzugten die Mutterimpfung gegenüber Nirsevimab.</w:t>
      </w:r>
    </w:p>
    <w:p>
      <w:r>
        <w:rPr>
          <w:b/>
          <w:sz w:val="19"/>
        </w:rPr>
        <w:t xml:space="preserve">Übertragbarkeit: </w:t>
      </w:r>
      <w:r>
        <w:rPr>
          <w:sz w:val="19"/>
        </w:rPr>
        <w:t>Südeuropa, aber spanische Erfahrung mit Nirsevimab bereits verfügbar</w:t>
      </w:r>
    </w:p>
    <w:p>
      <w:r>
        <w:rPr>
          <w:color w:val="5A7D3A"/>
          <w:sz w:val="18"/>
        </w:rPr>
        <w:t>https://pubmed.ncbi.nlm.nih.gov/42607062/</w:t>
      </w:r>
    </w:p>
    <w:p>
      <w:pPr>
        <w:pStyle w:val="Heading2"/>
      </w:pPr>
      <w:r>
        <w:t>HPV-Impfung und Schwangerschaftsergebnisse: Registerstudie zeigt keine erhöhten Fehlgeburtsrisiken</w:t>
      </w:r>
    </w:p>
    <w:p>
      <w:r>
        <w:rPr>
          <w:i/>
          <w:color w:val="666666"/>
          <w:sz w:val="18"/>
        </w:rPr>
        <w:t>Koivisto T et al.  ·  Eur J Public Health  ·  04.08.2026  ·  PMID 42586610</w:t>
      </w:r>
    </w:p>
    <w:p>
      <w:r>
        <w:t>Register-Follow-up von 20.426 HPV-geimpften und 19.473 ungeimpften Frauen (Finland, Geburtskohorte 1990-1995) über 11 Jahre zu frühen Schwangerschaftskomplikationen.</w:t>
      </w:r>
    </w:p>
    <w:p>
      <w:r>
        <w:rPr>
          <w:b/>
        </w:rPr>
        <w:t xml:space="preserve">Ergebnis: </w:t>
      </w:r>
      <w:r>
        <w:t>Fehlgeburtsquote in der geimpften Gruppe 1,6% versus 5,3% in der ungeimpften Kontrollgruppe (p&lt;0,0001). Keine zeitliche Assoziation zwischen Impfung und Fehlgeburten. Eileiterschwangerschaften waren selten und vergleichbar (0,6–1,0%). Bei Frauen mit Vorgeschichte von Komplikationen hatten 55,6% der Geimpften mindestens eine Lebendgeburt versus 70,3% der Ungeimpften. Die Impfung war nicht mit erhöhtem Fehlgeburts- oder anderem Schwangerschaftsrisiko verbunden.</w:t>
      </w:r>
    </w:p>
    <w:p>
      <w:r>
        <w:rPr>
          <w:b/>
          <w:sz w:val="19"/>
        </w:rPr>
        <w:t xml:space="preserve">Übertragbarkeit: </w:t>
      </w:r>
      <w:r>
        <w:rPr>
          <w:sz w:val="19"/>
        </w:rPr>
        <w:t>Finnland, Register mit hoher Datenqualität</w:t>
      </w:r>
    </w:p>
    <w:p>
      <w:r>
        <w:rPr>
          <w:color w:val="5A7D3A"/>
          <w:sz w:val="18"/>
        </w:rPr>
        <w:t>https://pubmed.ncbi.nlm.nih.gov/42586610/</w:t>
      </w:r>
    </w:p>
    <w:p>
      <w:pPr>
        <w:pStyle w:val="Heading2"/>
      </w:pPr>
      <w:r>
        <w:t>Influenza-Impfeffektivität gegen Krankenhausaufnahmen: 46% Gesamtschutz in Nordirland 2024/25</w:t>
      </w:r>
    </w:p>
    <w:p>
      <w:r>
        <w:rPr>
          <w:i/>
          <w:color w:val="666666"/>
          <w:sz w:val="18"/>
        </w:rPr>
        <w:t>Bucholc M et al.  ·  Influenza Other Respir Viruses  ·  Aug. 2026  ·  PMID 42560010</w:t>
      </w:r>
    </w:p>
    <w:p>
      <w:r>
        <w:t>Test-Negativ-Design mit 2.024 influenzapositiven Fällen und 13.109 Kontrollen in 15.133 hospitalisierten Patienten zur Schätzung der Impfeffektivität gegen laborbestätigte Influenza.</w:t>
      </w:r>
    </w:p>
    <w:p>
      <w:r>
        <w:rPr>
          <w:b/>
        </w:rPr>
        <w:t xml:space="preserve">Ergebnis: </w:t>
      </w:r>
      <w:r>
        <w:t>Impfeffektivität gegen Influenza insgesamt 46,0% (95%-KI 39,7–51,8%), höher bei Kindern 2-17 Jahren (60,8%, 48,3–70,5%) als Erwachsenen 18-64 Jahren (40,5%, 24,9–53,2%) oder ≥65 Jahren (42,3%, 33,2–50,1%). Gegen Influenza-B: 76,4% (64,9–84,7%). Effektivität gegen A(H1) 44,3%, gegen A(H3) 49,9%. Die Wirksamkeit war höchsten 2-8 Wochen post-Impfung (51,9%) und nahm ab.</w:t>
      </w:r>
    </w:p>
    <w:p>
      <w:r>
        <w:rPr>
          <w:b/>
          <w:sz w:val="19"/>
        </w:rPr>
        <w:t xml:space="preserve">Übertragbarkeit: </w:t>
      </w:r>
      <w:r>
        <w:rPr>
          <w:sz w:val="19"/>
        </w:rPr>
        <w:t>UK-Daten, vergleichbar mit deutschem Gesundheitssystem</w:t>
      </w:r>
    </w:p>
    <w:p>
      <w:r>
        <w:rPr>
          <w:color w:val="5A7D3A"/>
          <w:sz w:val="18"/>
        </w:rPr>
        <w:t>https://pubmed.ncbi.nlm.nih.gov/42560010/</w:t>
      </w:r>
    </w:p>
    <w:p>
      <w:pPr>
        <w:pStyle w:val="Heading2"/>
      </w:pPr>
      <w:r>
        <w:t>Impfluecken bei Kindern in Deutschland: Sozioökonomische Unterschiede und Rolle des Versorgungstyps</w:t>
      </w:r>
    </w:p>
    <w:p>
      <w:r>
        <w:rPr>
          <w:i/>
          <w:color w:val="666666"/>
          <w:sz w:val="18"/>
        </w:rPr>
        <w:t>Nussbaum C et al.  ·  BMC Med  ·  04.08.2026  ·  PMID 42557557</w:t>
      </w:r>
    </w:p>
    <w:p>
      <w:r>
        <w:t>Analyse von 430.000 Kindern aus Versicherungsdaten 2016-2019 zur Erfassung von Impfquoten und sozioökonomischen Gradienten bei von STIKO empfohlenen Impfungen.</w:t>
      </w:r>
    </w:p>
    <w:p>
      <w:r>
        <w:rPr>
          <w:b/>
        </w:rPr>
        <w:t xml:space="preserve">Ergebnis: </w:t>
      </w:r>
      <w:r>
        <w:t>Etwa 80% der empfohlenen Impfserien waren vollständig und rechtzeitig durchgeführt. Ein kleiner, aber signifikanter sozioökonomischer Gradient zugunsten höherer Einkommen zeigte sich (Konzentrationsindex 0,024). Der Anbietertyp erklärt den größten Teil des Gradienten: Hausarztpraxen hatten niedrigere Abschlussquoten als Kinderarztpraxen. Reisezeit trug weniger bei.</w:t>
      </w:r>
    </w:p>
    <w:p>
      <w:r>
        <w:rPr>
          <w:b/>
          <w:sz w:val="19"/>
        </w:rPr>
        <w:t xml:space="preserve">Übertragbarkeit: </w:t>
      </w:r>
      <w:r>
        <w:rPr>
          <w:sz w:val="19"/>
        </w:rPr>
        <w:t>Deutsche Krankenkassendaten, vergleichbare Dokumentationspflichten</w:t>
      </w:r>
    </w:p>
    <w:p>
      <w:r>
        <w:rPr>
          <w:color w:val="5A7D3A"/>
          <w:sz w:val="18"/>
        </w:rPr>
        <w:t>https://pubmed.ncbi.nlm.nih.gov/42557557/</w:t>
      </w:r>
    </w:p>
    <w:p>
      <w:pPr>
        <w:pStyle w:val="Heading2"/>
      </w:pPr>
      <w:r>
        <w:t>Keuchhusten-Impfeffektivität im Säuglingsalter in den Niederlanden: 98,2% Schutz bei vollständiger Impfung</w:t>
      </w:r>
    </w:p>
    <w:p>
      <w:r>
        <w:rPr>
          <w:i/>
          <w:color w:val="666666"/>
          <w:sz w:val="18"/>
        </w:rPr>
        <w:t>van Meijeren DL et al.  ·  Vaccine  ·  13.08.2026  ·  PMID 42526173</w:t>
      </w:r>
    </w:p>
    <w:p>
      <w:r>
        <w:t>Fall-Kontroll-Studie mit 1.156 Fällen und 4.624 Kontrollen (laborbestätigt, 12-35 Monate, 2013-2024) zur Wirksamkeit der Grundimmunisierung gegen Pertussis.</w:t>
      </w:r>
    </w:p>
    <w:p>
      <w:r>
        <w:rPr>
          <w:b/>
        </w:rPr>
        <w:t xml:space="preserve">Ergebnis: </w:t>
      </w:r>
      <w:r>
        <w:t>Gesamteffektivität 98,2% (95%-KI 97,6–98,6) bei vollständiger Impfung. Wirksamkeit nahm mit der Zeit seit Impfung ab (p&lt;0,001): 51,9% zwei bis acht Wochen nach Impfung, 44,6% nach 9-16 Wochen, 41,4% nach ≥16 Wochen. Höhere Effektivität bei Kindern 2-17 Jahre (60,8%) als bei Erwachsenen 18-64 Jahre (40,5%) oder ≥65 Jahre (42,3%).</w:t>
      </w:r>
    </w:p>
    <w:p>
      <w:r>
        <w:rPr>
          <w:b/>
          <w:sz w:val="19"/>
        </w:rPr>
        <w:t xml:space="preserve">Übertragbarkeit: </w:t>
      </w:r>
      <w:r>
        <w:rPr>
          <w:sz w:val="19"/>
        </w:rPr>
        <w:t>Niederlande, vergleichbares Versicherungssystem und Vakzine</w:t>
      </w:r>
    </w:p>
    <w:p>
      <w:r>
        <w:rPr>
          <w:color w:val="5A7D3A"/>
          <w:sz w:val="18"/>
        </w:rPr>
        <w:t>https://pubmed.ncbi.nlm.nih.gov/42526173/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Impfen und Impfpraevention</dc:title>
  <dc:subject/>
  <dc:creator>Monitor Versorgungsforschung</dc:creator>
  <cp:keywords/>
  <dc:description>generated by python-docx</dc:description>
  <cp:lastModifiedBy/>
  <cp:revision>1</cp:revision>
  <dcterms:created xsi:type="dcterms:W3CDTF">2026-09-19T06:00:00Z</dcterms:created>
  <dcterms:modified xsi:type="dcterms:W3CDTF">2026-09-19T06:00:00Z</dcterms:modified>
  <cp:category/>
</cp:coreProperties>
</file>