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Impfen und Impfpraevention</w:t>
      </w:r>
    </w:p>
    <w:p>
      <w:r>
        <w:rPr>
          <w:i/>
          <w:color w:val="666666"/>
          <w:sz w:val="18"/>
        </w:rPr>
        <w:t>Stand: 07.10.2026  |  6 Studien  |  impfen.m-vf.de</w:t>
      </w:r>
    </w:p>
    <w:p>
      <w:pPr>
        <w:pStyle w:val="Heading1"/>
      </w:pPr>
      <w:r>
        <w:t>Aufgenommen am 07.10.2026</w:t>
      </w:r>
    </w:p>
    <w:p>
      <w:pPr>
        <w:pStyle w:val="Heading2"/>
      </w:pPr>
      <w:r>
        <w:t>Impfquoten bei Zero-Dose-Kindern: digitale Mikro-Planung erreichte unterversorgte Gemeinden in Niger</w:t>
      </w:r>
    </w:p>
    <w:p>
      <w:r>
        <w:rPr>
          <w:i/>
          <w:color w:val="666666"/>
          <w:sz w:val="18"/>
        </w:rPr>
        <w:t>Jimoh A et al.  ·  BMJ Glob Health  ·  06.10.2026  ·  PMID 42838605</w:t>
      </w:r>
    </w:p>
    <w:p>
      <w:r>
        <w:t>Die STRICAN-Initiative kombinierte Haushaltserfassung, digitale Mikroplanung und gemeindegestützte Mobilisierung, um zuvor unerreichbare Kinder in 10 Bezirken des Niger-Staates zu identifizieren und zu impfen.</w:t>
      </w:r>
    </w:p>
    <w:p>
      <w:r>
        <w:rPr>
          <w:b/>
        </w:rPr>
        <w:t xml:space="preserve">Ergebnis: </w:t>
      </w:r>
      <w:r>
        <w:t>Das Modell zeigte, dass datengesteuerte Mikro-Planung mit vertrauenswürdigen Gemeinschaftsstrukturen funktioniert. Zentrale Erkenntnisse: flexible Lieferstrategien in fragilen Einstellungen, starke Partnerschaften zwischen Regierung und Umsetzungsakteuren sowie die Integration digitaler Tools mit bestehenden Gemeinschaftssystemen verbesserten Identifikation und Service-Bereitstellung für Zero-Dose-Populationen.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Nigeria, aber Modell übertragbar auf ähnliche Kontexte mit schwachen Registersystemen und fragmentierten Bevölkerungen.</w:t>
      </w:r>
    </w:p>
    <w:p>
      <w:r>
        <w:rPr>
          <w:color w:val="5A7D3A"/>
          <w:sz w:val="18"/>
        </w:rPr>
        <w:t>https://pubmed.ncbi.nlm.nih.gov/42838605/</w:t>
      </w:r>
    </w:p>
    <w:p>
      <w:pPr>
        <w:pStyle w:val="Heading2"/>
      </w:pPr>
      <w:r>
        <w:t>COVID-19-Impfbereitschaft bei chinesischen Fachpersonen: 59,9% für zukünftige Auffrischungen trotz 97% Vorbeugeimpfung</w:t>
      </w:r>
    </w:p>
    <w:p>
      <w:r>
        <w:rPr>
          <w:i/>
          <w:color w:val="666666"/>
          <w:sz w:val="18"/>
        </w:rPr>
        <w:t>Mu Y et al.  ·  JMIR Public Health Surveill  ·  06.10.2026  ·  PMID 42837522</w:t>
      </w:r>
    </w:p>
    <w:p>
      <w:r>
        <w:t>Nationale Mehrzentrums-Querschnittsbefragung von 2.877 Ärzten und 292 Medizinstudierenden in China Februar–April 2023 zur Bereitschaft für künftige jährliche COVID-19-Impfungen.</w:t>
      </w:r>
    </w:p>
    <w:p>
      <w:r>
        <w:rPr>
          <w:b/>
        </w:rPr>
        <w:t xml:space="preserve">Ergebnis: </w:t>
      </w:r>
      <w:r>
        <w:t>Insgesamt 59,9% (n=1.899) willens, zukünftige jährliche COVID-19-Impfung zu erhalten; 97% hatten mind. 1 Dosis erhalten; 93,1% hatten inaktivierte Impfstoffe. 90,2% unterstützen Ältere-Impfung, 73,2% Kleinkinderimpfung. Mangelnde Influenzaimpfbereitschaft stark assoziiert mit COVID-19-Hesitanz (aPR 4,11, 95%-KI 3,71–4,55). Häufigste Bedenken: Impfwirksamkeit (53,1%), Sicherheit (33,4%), unzureichende Studiendatenoffenlegung (29%).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Befunde zu Kommunikationsbedarf und Vertrauensaufbau bei Fachpersonen auf deutsches Vertrauen-in-Institutionen-Problem übertragbar.</w:t>
      </w:r>
    </w:p>
    <w:p>
      <w:r>
        <w:rPr>
          <w:color w:val="5A7D3A"/>
          <w:sz w:val="18"/>
        </w:rPr>
        <w:t>https://pubmed.ncbi.nlm.nih.gov/42837522/</w:t>
      </w:r>
    </w:p>
    <w:p>
      <w:pPr>
        <w:pStyle w:val="Heading2"/>
      </w:pPr>
      <w:r>
        <w:t>RSV-Impfung bei älteren Herzinsuffizienzpatienten: Sterblichkeit sinkt um 49%, ICU-Aufnahmen um 54%</w:t>
      </w:r>
    </w:p>
    <w:p>
      <w:r>
        <w:rPr>
          <w:i/>
          <w:color w:val="666666"/>
          <w:sz w:val="18"/>
        </w:rPr>
        <w:t>Khan A et al.  ·  Clin Cardiol  ·  Okt. 2026  ·  PMID 42836598</w:t>
      </w:r>
    </w:p>
    <w:p>
      <w:r>
        <w:t>Retrospektive Kohorte mit Propensity-Score-Matching verglich RSV-Geimpfte und Ungeimpfte ≥60 Jahre mit Herzinsuffizienz, n=777 pro Gruppe, Nachbeobachtung Mai 2023–Januar 2026.</w:t>
      </w:r>
    </w:p>
    <w:p>
      <w:r>
        <w:rPr>
          <w:b/>
        </w:rPr>
        <w:t xml:space="preserve">Ergebnis: </w:t>
      </w:r>
      <w:r>
        <w:t>Geimpfte hatten signifikant niedrigere Gesamtsterblichkeit (HR 0,51, 95%-KI 0,33–0,79) und weniger ICU-Aufnahmen (2,7% vs. 5,8%, HR 0,46, 95%-KI 0,25–0,86). Kein Unterschied bei Atemwegsversagen (7,3% vs. 9,4%), stationären/Notfallbesuchen oder HI-Verschärfung. Höhere Gesamt-Gesundheitsnutzung in Geimpften (HR 1,85, 95%-KI 1,65–2,08) – hypothesengenerierend für Vermeidung schwerer Atemwegserkrankung.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 (TriNetX), aber Sicherheitsbefund und Mortalitätsvorteil übertragbar.</w:t>
      </w:r>
    </w:p>
    <w:p>
      <w:r>
        <w:rPr>
          <w:color w:val="5A7D3A"/>
          <w:sz w:val="18"/>
        </w:rPr>
        <w:t>https://pubmed.ncbi.nlm.nih.gov/42836598/</w:t>
      </w:r>
    </w:p>
    <w:p>
      <w:pPr>
        <w:pStyle w:val="Heading2"/>
      </w:pPr>
      <w:r>
        <w:t>Impfungen in der Schwangerschaft: Griechische Studie identifiziert Barrieren und Angehörigenedukatoren</w:t>
      </w:r>
    </w:p>
    <w:p>
      <w:r>
        <w:rPr>
          <w:i/>
          <w:color w:val="666666"/>
          <w:sz w:val="18"/>
        </w:rPr>
        <w:t>Psarris A et al.  ·  J Pregnancy  ·  2026  ·  PMID 42836283</w:t>
      </w:r>
    </w:p>
    <w:p>
      <w:r>
        <w:t>Querschnittsstudie zur Impfbereitschaft bei 725 Wöchnerinnen in zwei Athener Kliniken mit Fokus auf COVID-19, Tdap, Influenza und RSV.</w:t>
      </w:r>
    </w:p>
    <w:p>
      <w:r>
        <w:rPr>
          <w:b/>
        </w:rPr>
        <w:t xml:space="preserve">Ergebnis: </w:t>
      </w:r>
      <w:r>
        <w:t>Insgesamt 51,2% erhielten mindestens eine Impfung in der Schwangerschaft: Tdap 42,5%, Influenza 19,6%, COVID-19 3,6%, RSV &lt;1%. Nur 14,62% erhielten mehrere Impfungen. Hauptbarrieren: mangelnde ärztliche Beratung (Site 1: 29,0%, Site 2: 18,6%), persönliche Wahl und Sicherheitsbedenken (Site 2 höher). Höhere Schulbildung und städtischer Wohnort waren unabhängig mit höherer Impfbereitschaft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Griechenland – deutschsprachiger Raum, vergleichbare Sozialversicherung, aber Mutterschaftsimpfquoten deutlich unter deutschen Empfehlungen.</w:t>
      </w:r>
    </w:p>
    <w:p>
      <w:r>
        <w:rPr>
          <w:color w:val="5A7D3A"/>
          <w:sz w:val="18"/>
        </w:rPr>
        <w:t>https://pubmed.ncbi.nlm.nih.gov/42836283/</w:t>
      </w:r>
    </w:p>
    <w:p>
      <w:pPr>
        <w:pStyle w:val="Heading2"/>
      </w:pPr>
      <w:r>
        <w:t>Grippeimpfung bei Gesundheitsfachpersonen in China: Metaanalyse zeigt 27%-Quote und wirksame Interventionen</w:t>
      </w:r>
    </w:p>
    <w:p>
      <w:r>
        <w:rPr>
          <w:i/>
          <w:color w:val="666666"/>
          <w:sz w:val="18"/>
        </w:rPr>
        <w:t>Xiong L et al.  ·  Front Public Health  ·  21.09.2026  ·  PMID 42835288</w:t>
      </w:r>
    </w:p>
    <w:p>
      <w:r>
        <w:t>Systematische Übersicht mit Metaanalyse von 49 Querschnittsstudien mit 111.544 chinesischen Gesundheitsfachpersonen zur Influenzaimpfquote und beeinflussenden Faktoren.</w:t>
      </w:r>
    </w:p>
    <w:p>
      <w:r>
        <w:rPr>
          <w:b/>
        </w:rPr>
        <w:t xml:space="preserve">Ergebnis: </w:t>
      </w:r>
      <w:r>
        <w:t>Gesamtimpfquote 27% (95%-KI 21–34%). Positiv assoziiert: Alter 40–49 Jahre, weiblich, Einkommen &gt;3.000 RMB, beruflicher Titel, frühere Impfhistorie, institutionelle Ermutigung/Verpflichtung, kostenlose Impfung, Kenntnis des optimalen Zeitpunkts, Impfbereitschaft. Strukturelle Interventionen (kostenlos, Ermutigung, Vor-Ort-Dienste) plus zielgerichtete Strategien für jüngere, männliche, einkommensschwache und impfnaive Personen empfohlen.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– Bevölkerungsdaten, aber Erkenntnisse zu Anreizstrukturen und Zugangsbarrieren auf deutsche HCW-Programme übertragbar.</w:t>
      </w:r>
    </w:p>
    <w:p>
      <w:r>
        <w:rPr>
          <w:color w:val="5A7D3A"/>
          <w:sz w:val="18"/>
        </w:rPr>
        <w:t>https://pubmed.ncbi.nlm.nih.gov/42835288/</w:t>
      </w:r>
    </w:p>
    <w:p>
      <w:pPr>
        <w:pStyle w:val="Heading2"/>
      </w:pPr>
      <w:r>
        <w:t>PCV21 versus PCV20 in Deutschland: Pneumokokkenimpfung zeigt Kosteneinsparungen</w:t>
      </w:r>
    </w:p>
    <w:p>
      <w:r>
        <w:rPr>
          <w:i/>
          <w:color w:val="666666"/>
          <w:sz w:val="18"/>
        </w:rPr>
        <w:t>Simuzingili M et al.  ·  Expert Rev Vaccines  ·  05.10.2026  ·  PMID 42834615</w:t>
      </w:r>
    </w:p>
    <w:p>
      <w:r>
        <w:t>Kosten-Effektivitätsanalyse mit angepasstem Markov-Modell verglich PCV21 und PCV20 bei ungeimpften Erwachsenen ≥60 Jahren in Deutschland.</w:t>
      </w:r>
    </w:p>
    <w:p>
      <w:r>
        <w:rPr>
          <w:b/>
        </w:rPr>
        <w:t xml:space="preserve">Ergebnis: </w:t>
      </w:r>
      <w:r>
        <w:t>PCV21 reduzierte gegenüber PCV20 Krankheitsfälle, Todesfälle und direkte Kosten. Aus Kostenträger- und Gesellschaftsperspektive war PCV21 kosteneinsparend. In Sensitivitätsanalysen blieb PCV21 kostenrettend über alle Parametervariationen. PCV21 wurde dominiert nur bei Reduktion des Unterschieds in der NBPP-Erkrankungsabdeckung auf 0,5%.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– Modell auf deutschen Kostendaten, deutsches Gesundheitssystem und Impfkalender.</w:t>
      </w:r>
    </w:p>
    <w:p>
      <w:r>
        <w:rPr>
          <w:color w:val="5A7D3A"/>
          <w:sz w:val="18"/>
        </w:rPr>
        <w:t>https://pubmed.ncbi.nlm.nih.gov/42834615/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Impfen und Impfpraevention</dc:title>
  <dc:subject/>
  <dc:creator>Monitor Versorgungsforschung</dc:creator>
  <cp:keywords/>
  <dc:description>generated by python-docx</dc:description>
  <cp:lastModifiedBy/>
  <cp:revision>1</cp:revision>
  <dcterms:created xsi:type="dcterms:W3CDTF">2026-10-07T06:00:00Z</dcterms:created>
  <dcterms:modified xsi:type="dcterms:W3CDTF">2026-10-07T06:00:00Z</dcterms:modified>
  <cp:category/>
</cp:coreProperties>
</file>