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Impfpraevention</w:t>
      </w:r>
    </w:p>
    <w:p>
      <w:r>
        <w:rPr>
          <w:i/>
          <w:color w:val="666666"/>
          <w:sz w:val="18"/>
        </w:rPr>
        <w:t>Stand: 07.10.2026  |  275 Studien  |  impfen.m-vf.de</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Verständnis der Herpes-Zoster-Erkrankung steigert Impfquote bei älteren Erwachsenen in China</w:t>
      </w:r>
    </w:p>
    <w:p>
      <w:r>
        <w:rPr>
          <w:i/>
          <w:color w:val="666666"/>
          <w:sz w:val="18"/>
        </w:rPr>
        <w:t>Bolanos R et al.  ·  Expert Rev Vaccines  ·  12.09.2026  ·  PMID 42728842</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https://pubmed.ncbi.nlm.nih.gov/42728842/</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Dengue- und Chikungunya-Impfstoffe: Verfügbarkeit ungleich Erreichen von Risikogruppen</w:t>
      </w:r>
    </w:p>
    <w:p>
      <w:r>
        <w:rPr>
          <w:i/>
          <w:color w:val="666666"/>
          <w:sz w:val="18"/>
        </w:rPr>
        <w:t>La Porta CAM et al.  ·  Open Res Eur  ·  22.08.2026  ·  PMID 42728936</w:t>
      </w:r>
    </w:p>
    <w:p>
      <w:r>
        <w:t>Übersichtsarbeit zu Lücken zwischen Impfstoff-Zulassung/globaler Verfügbarkeit und epidemiologischer Risikoverbreitung sowie inkonsistentem Eintrag in nationale Impfprogramme.</w:t>
      </w:r>
    </w:p>
    <w:p>
      <w:r>
        <w:rPr>
          <w:b/>
        </w:rPr>
        <w:t xml:space="preserve">Ergebnis: </w:t>
      </w:r>
      <w:r>
        <w:t>Erhebliche Diskrepanzen zwischen geografischen Regionen mit regulatorischer Zulassung und Zonen höchster epidemiologischer Belastung (Dengue, Chikungunya). Nationale Impfprogramm-Inklusion fragmentarisch. Aktuelle Strategien reaktiv, unzureichend an Transmissionsmuster und Gesundheitssystem-Kapazität angepasst. Bedarf: Präparedness-orientierte Frameworks für zeitgerechte Einführung, nachhaltige Abdeckung, risikoadaptives Deployment.</w:t>
      </w:r>
    </w:p>
    <w:p>
      <w:r>
        <w:rPr>
          <w:b/>
          <w:sz w:val="19"/>
        </w:rPr>
        <w:t xml:space="preserve">Übertragbarkeit: </w:t>
      </w:r>
      <w:r>
        <w:rPr>
          <w:sz w:val="19"/>
        </w:rPr>
        <w:t>Global, zeigt Koordinationsproblem zwischen Zulassung und Programm-Aufnahme, relevant für deutsche Impfkalender-Entscheidungen.</w:t>
      </w:r>
    </w:p>
    <w:p>
      <w:r>
        <w:rPr>
          <w:color w:val="5A7D3A"/>
          <w:sz w:val="18"/>
        </w:rPr>
        <w:t>https://pubmed.ncbi.nlm.nih.gov/42728936/</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EV-A71-Impfung reduzierte Hand-Fuß-Mund-Krankheit um 57% in Shanghai – Shift zu anderen Serotypen beobachtet</w:t>
      </w:r>
    </w:p>
    <w:p>
      <w:r>
        <w:rPr>
          <w:i/>
          <w:color w:val="666666"/>
          <w:sz w:val="18"/>
        </w:rPr>
        <w:t>Deng L et al.  ·  Front Public Health  ·  12.08.2026  ·  PMID 42656515</w:t>
      </w:r>
    </w:p>
    <w:p>
      <w:r>
        <w:t>Analyse epidemiologischer Veränderungen der Hand-Fuß-Mund-Krankheit (HFMD) über 15 Jahre in Minhang-Bezirk Shanghai mit Schätzung der Impfeffektivität nach Test-Negative-Design.</w:t>
      </w:r>
    </w:p>
    <w:p>
      <w:r>
        <w:rPr>
          <w:b/>
        </w:rPr>
        <w:t xml:space="preserve">Ergebnis: </w:t>
      </w:r>
      <w:r>
        <w:t>Nach Einführung der EV-A71-Impfung (2016) sanken Inzidenz um 56,7%, Schweregrad um 95,2%, Sterblichkeit um 100%. Gesamtimpfeffektivität gegen EV-A71-assoziierte HFMD: 89,9% (95%-KI 74,5–96,0) für Zwei-Dosen-Serie; Durchimpfungsquote 50%. Keine Kreuzprotektion gegen andere Serotypen.</w:t>
      </w:r>
    </w:p>
    <w:p>
      <w:r>
        <w:rPr>
          <w:b/>
          <w:sz w:val="19"/>
        </w:rPr>
        <w:t xml:space="preserve">Übertragbarkeit: </w:t>
      </w:r>
      <w:r>
        <w:rPr>
          <w:sz w:val="19"/>
        </w:rPr>
        <w:t>China-Studie, System unterscheidet sich; Effektivitätsmessung an Bevölkerungsdaten aber global vergleichbar.</w:t>
      </w:r>
    </w:p>
    <w:p>
      <w:r>
        <w:rPr>
          <w:color w:val="5A7D3A"/>
          <w:sz w:val="18"/>
        </w:rPr>
        <w:t>https://pubmed.ncbi.nlm.nih.gov/42656515/</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Sicherheit von fünf COVID-19-Impfstoffen: Vergleich von Laborprüfung und Pharmakovigilanz</w:t>
      </w:r>
    </w:p>
    <w:p>
      <w:r>
        <w:rPr>
          <w:i/>
          <w:color w:val="666666"/>
          <w:sz w:val="18"/>
        </w:rPr>
        <w:t>Ren L et al.  ·  Trends Cancer  ·  09.07.2026  ·  PMID 42425835</w:t>
      </w:r>
    </w:p>
    <w:p>
      <w:r>
        <w:t>Vergleichende Analyse von Nichtkliniksicherheitsstudien und Pharmakovigilanzüberwachung zu fünf in Frankreich autorisierten COVID-19-Impfstoffen (Comirnaty, Spikevax, Vaxzevria, Jcovden, Nuvaxovid).</w:t>
      </w:r>
    </w:p>
    <w:p>
      <w:r>
        <w:rPr>
          <w:b/>
        </w:rPr>
        <w:t xml:space="preserve">Ergebnis: </w:t>
      </w:r>
      <w:r>
        <w:t>Reaktogenität bei Vektor-Impfstoffen höher als mRNA-Stoffen. Für seltene Ereignisse (Myokarditis, VITT) zeigten nichtklische Modelle begrenzte Vorhersagekraft. Troponin als klinischer Biomarker identifiziert; Harmonisierung der Biomarker-Überwachung empfohlen – klinische Phänomene wurden durch Labortests nicht vorhergesagt.</w:t>
      </w:r>
    </w:p>
    <w:p>
      <w:r>
        <w:rPr>
          <w:b/>
          <w:sz w:val="19"/>
        </w:rPr>
        <w:t xml:space="preserve">Übertragbarkeit: </w:t>
      </w:r>
      <w:r>
        <w:rPr>
          <w:sz w:val="19"/>
        </w:rPr>
        <w:t>Frankreich/Europa – europäische Zulassungsdaten, PV-Praktiken, pharmakovigilanzregeln vergleichbar</w:t>
      </w:r>
    </w:p>
    <w:p>
      <w:r>
        <w:rPr>
          <w:color w:val="5A7D3A"/>
          <w:sz w:val="18"/>
        </w:rPr>
        <w:t>https://pubmed.ncbi.nlm.nih.gov/42425835/</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Wirksamkeit nahm mit der Zeit seit Impfung ab (p&lt;0,001): 51,9% zwei bis acht Wochen nach Impfung, 44,6% nach 9-16 Wochen, 41,4% nach ≥16 Wochen. Höhere Effektivität bei Kindern 2-17 Jahre (60,8%) als bei Erwachsenen 18-64 Jahre (40,5%) oder ≥65 Jahre (42,3%).</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Impfpraevention</dc:title>
  <dc:subject/>
  <dc:creator>Monitor Versorgungsforschung</dc:creator>
  <cp:keywords/>
  <dc:description>generated by python-docx</dc:description>
  <cp:lastModifiedBy/>
  <cp:revision>1</cp:revision>
  <dcterms:created xsi:type="dcterms:W3CDTF">2026-10-07T06:00:00Z</dcterms:created>
  <dcterms:modified xsi:type="dcterms:W3CDTF">2026-10-07T06:00:00Z</dcterms:modified>
  <cp:category/>
</cp:coreProperties>
</file>