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17.09.2026  |  7 Studien  |  impfen.m-vf.de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Gonorrhoe-Impfstoff: Modellierte Prävalenzreduktion in abgelegenem indigenem Australien</w:t>
      </w:r>
    </w:p>
    <w:p>
      <w:r>
        <w:rPr>
          <w:i/>
          <w:color w:val="666666"/>
          <w:sz w:val="18"/>
        </w:rPr>
        <w:t>Padeniya TN et al.  ·  Sex Health  ·  20.10.2026  ·  PMID 42749469</w:t>
      </w:r>
    </w:p>
    <w:p>
      <w:r>
        <w:t>Mathematisches Transmissionsmodell (individual-basiert) zur Analyse der Effektivität einer hypothetischen Gonorrhoe-Impfung in abgelegenen Gemeinden mit hoher Inzidenz bei 16–36-jährigen australischen Ureinwohnern.</w:t>
      </w:r>
    </w:p>
    <w:p>
      <w:r>
        <w:rPr>
          <w:b/>
        </w:rPr>
        <w:t xml:space="preserve">Ergebnis: </w:t>
      </w:r>
      <w:r>
        <w:t>Bei 5-Jahres-Nachverfolgung mit 40 % jährlicher Impfquote und Impfstoff mit 25–50 % Schutzwirksamkeit: relative Prävalenzreduktion 15–28 %. Bei 80 % Impfquote und 75 % Wirksamkeit: 95 % (5 Jahre) bis 98 % (10 Jahre) Reduktion. Auch mit partieller Wirksamkeit substantielle Prävalenzrückgänge möglich.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 mit Registersystem und hoher Datenqualität, aber Bevölkerungszusammensetzung und epidemiologische Lage unterscheiden sich von Deutschland.</w:t>
      </w:r>
    </w:p>
    <w:p>
      <w:r>
        <w:rPr>
          <w:color w:val="5A7D3A"/>
          <w:sz w:val="18"/>
        </w:rPr>
        <w:t>https://pubmed.ncbi.nlm.nih.gov/42749469/</w:t>
      </w:r>
    </w:p>
    <w:p>
      <w:pPr>
        <w:pStyle w:val="Heading2"/>
      </w:pPr>
      <w:r>
        <w:t>Herpes-Zoster-Impfung: Wirksamkeit gegen Zoster, Ophthalmicus und postherpetische Neuralgie</w:t>
      </w:r>
    </w:p>
    <w:p>
      <w:r>
        <w:rPr>
          <w:i/>
          <w:color w:val="666666"/>
          <w:sz w:val="18"/>
        </w:rPr>
        <w:t>Heen E et al.  ·  Rev Med Virol  ·  Sept. 2026  ·  PMID 42748460</w:t>
      </w:r>
    </w:p>
    <w:p>
      <w:r>
        <w:t>Systematische Übersicht mit Metaanalyse von 18 Studien (3 RCT, 15 Beobachtungsstudien) zur Effektivität des Recombinant-Zoster-Impfstoffs (RZV) gegen Herpes zoster und Komplikationen in ≥50-Jährigen.</w:t>
      </w:r>
    </w:p>
    <w:p>
      <w:r>
        <w:rPr>
          <w:b/>
        </w:rPr>
        <w:t xml:space="preserve">Ergebnis: </w:t>
      </w:r>
      <w:r>
        <w:t>RZV zeigte in RCT 95 % Effektivität gegen Herpes zoster (hochgradig), substantielle Reduktion von Herpes-Zoster-Ophthalmicus (hochgradig), wahrscheinlich postherpetische Neuralgia (moderat). Durable Schutzwirkung mind. 11 Jahre nachgewiesen (niedrig bis moderat). Mögliche Assoziation mit reduziertem Demenzrisiko (niedrig, durch healthy-vaccinee-bias-Unsicherheit).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 und Schweden, vergleichbare altersstrukturierte Bevölkerungen und Impfregister; Befunde direkt auf deutsches Zoster-Impfprogramm übertragbar.</w:t>
      </w:r>
    </w:p>
    <w:p>
      <w:r>
        <w:rPr>
          <w:color w:val="5A7D3A"/>
          <w:sz w:val="18"/>
        </w:rPr>
        <w:t>https://pubmed.ncbi.nlm.nih.gov/42748460/</w:t>
      </w:r>
    </w:p>
    <w:p>
      <w:pPr>
        <w:pStyle w:val="Heading2"/>
      </w:pPr>
      <w:r>
        <w:t>Kulturell angepasste HPV-Aufklärung und Impfintention in Saudi-Arabien</w:t>
      </w:r>
    </w:p>
    <w:p>
      <w:r>
        <w:rPr>
          <w:i/>
          <w:color w:val="666666"/>
          <w:sz w:val="18"/>
        </w:rPr>
        <w:t>Elsayed EA et al.  ·  JMIR Public Health Surveill  ·  16.09.2026  ·  PMID 42748422</w:t>
      </w:r>
    </w:p>
    <w:p>
      <w:r>
        <w:t>Quasi-experimentelle Studie (Prä-Post mit Kontrollgruppe, n=380) zur Wirkung einer 45-minütigen, an lokale Werte adaptierten Schulungsintervention auf HPV-Wissen, Gesundheitsbewusstsein und Impfbereitschaft.</w:t>
      </w:r>
    </w:p>
    <w:p>
      <w:r>
        <w:rPr>
          <w:b/>
        </w:rPr>
        <w:t xml:space="preserve">Ergebnis: </w:t>
      </w:r>
      <w:r>
        <w:t>In der Interventionsgruppe zeigte sich bei 3-Monats-Nachverfolgung gegenüber Kontrollen: Wissen (β=0,84, p&lt;0,001, d=0,45), Bewusstsein (β=0,88, p&lt;0,001, d=0,44), Einstellung (β=0,70, p&lt;0,001, d=0,38), Impfabsicht (β=0,86, p&lt;0,001, d=0,82, großer Effekt). Effekte über Altersgruppen, Bildung und Gesundheitskompetenz konsistent.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Saudi-Arabien, begrenzt übertragbar, aber Modell für kulturell sensible Beratung in diversen deutschen Bevölkerungsgruppen.</w:t>
      </w:r>
    </w:p>
    <w:p>
      <w:r>
        <w:rPr>
          <w:color w:val="5A7D3A"/>
          <w:sz w:val="18"/>
        </w:rPr>
        <w:t>https://pubmed.ncbi.nlm.nih.gov/42748422/</w:t>
      </w:r>
    </w:p>
    <w:p>
      <w:pPr>
        <w:pStyle w:val="Heading2"/>
      </w:pPr>
      <w:r>
        <w:t>Personalisierte Neoantigen-Impfstoff-Therapie bei Kopf-Hals-Karzinom vermeidet Rezidive</w:t>
      </w:r>
    </w:p>
    <w:p>
      <w:r>
        <w:rPr>
          <w:i/>
          <w:color w:val="666666"/>
          <w:sz w:val="18"/>
        </w:rPr>
        <w:t>Ottensmeier C et al.  ·  Nat Commun  ·  17.08.2026  ·  PMID 42744798</w:t>
      </w:r>
    </w:p>
    <w:p>
      <w:r>
        <w:t>Randomisierte Phase-I-Studie (n=32) zur Adjuvans-Therapie mit TG4050, einem individualisierten viralen Neoantigen-Impfstoff mit bis zu 30 tumor-spezifischen Neoantigenen, nach Standard-Chemotherapie vs. abwartendem Vorgehen.</w:t>
      </w:r>
    </w:p>
    <w:p>
      <w:r>
        <w:rPr>
          <w:b/>
        </w:rPr>
        <w:t xml:space="preserve">Ergebnis: </w:t>
      </w:r>
      <w:r>
        <w:t>Unmittelbare TG4050-Gruppe: 0 von 16 Rezidive nach 30 Monaten Nachverfolgung; Kontrollgruppe: 3 von 16 Rezidive. T-Zell-Antworten gegen Neoantigen in 73,3 % detektiert (Median 3 Neoantigen pro Responder), persistent über 1 Jahr. Neoantigen-spezifische CD8+ T-Zellen zeigten Effektor- und geweberesidente Marker.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 (UK, Frankreich, Niederlande), übertragbar auf deutsches Klinikum mit entsprechender molekularer Tumorcharakterisierung.</w:t>
      </w:r>
    </w:p>
    <w:p>
      <w:r>
        <w:rPr>
          <w:color w:val="5A7D3A"/>
          <w:sz w:val="18"/>
        </w:rPr>
        <w:t>https://pubmed.ncbi.nlm.nih.gov/42744798/</w:t>
      </w:r>
    </w:p>
    <w:p>
      <w:pPr>
        <w:pStyle w:val="Heading2"/>
      </w:pPr>
      <w:r>
        <w:t>HPV-Impfung bei Erwachsenen 27–45 Jahren: Quote und Trends in USA</w:t>
      </w:r>
    </w:p>
    <w:p>
      <w:r>
        <w:rPr>
          <w:i/>
          <w:color w:val="666666"/>
          <w:sz w:val="18"/>
        </w:rPr>
        <w:t>Fisher-Borne M et al.  ·  Hum Vaccin Immunother  ·  10.09.2026  ·  PMID 42723147</w:t>
      </w:r>
    </w:p>
    <w:p>
      <w:r>
        <w:t>Retrospektive Auswertung kommerzieller Claims-Daten 2019–2023 zur HPV-Impfquote bei erwachsenen Frauen und Männern unter shared clinical decision-making.</w:t>
      </w:r>
    </w:p>
    <w:p>
      <w:r>
        <w:rPr>
          <w:b/>
        </w:rPr>
        <w:t xml:space="preserve">Ergebnis: </w:t>
      </w:r>
      <w:r>
        <w:t>Annual HPV-Impfinitiation stieg von 0,21 % (2019) auf 0,54 % (2023); kumulativ über 5 Jahre 0,84 % bei 3–4 Mio. jährlich ungeimpften Personen. Apotheken als Impfort nahmen zu, regionale Variation 0,23–1,56 %.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mit grundlegend anderer Versicherungsstruktur; aber Befunde zur Rolle von Apotheken und regionaler Varianz relevant für Deutschland.</w:t>
      </w:r>
    </w:p>
    <w:p>
      <w:r>
        <w:rPr>
          <w:color w:val="5A7D3A"/>
          <w:sz w:val="18"/>
        </w:rPr>
        <w:t>https://pubmed.ncbi.nlm.nih.gov/42723147/</w:t>
      </w:r>
    </w:p>
    <w:p>
      <w:pPr>
        <w:pStyle w:val="Heading2"/>
      </w:pPr>
      <w:r>
        <w:t>Immunosuppression-Entzug und mRNA-Impfung bei Nierentransplantierten</w:t>
      </w:r>
    </w:p>
    <w:p>
      <w:r>
        <w:rPr>
          <w:i/>
          <w:color w:val="666666"/>
          <w:sz w:val="18"/>
        </w:rPr>
        <w:t>Goerlich N et al.  ·  Front Immunol  ·  17.08.2026  ·  PMID 42676352</w:t>
      </w:r>
    </w:p>
    <w:p>
      <w:r>
        <w:t>Hochdimensionale Analyse der Immunzellkomposition bei Nierentransplantierten unter temporärem Mycophenolsäure-Entzug während mRNA-1273-Impfung.</w:t>
      </w:r>
    </w:p>
    <w:p>
      <w:r>
        <w:rPr>
          <w:b/>
        </w:rPr>
        <w:t xml:space="preserve">Ergebnis: </w:t>
      </w:r>
      <w:r>
        <w:t>Mycophenolsäure-Entzug war assoziiert mit erhöhten CD4+/CD8+ T-Zell-Frequenzen (p=0,039 bzw. p=0,001) und verminderten Monozyten- und B-Zell-Frequenzen (p=0,014 bzw. p=0,023). Effekte variierten je nach Transplantationsdauer und Alter; kein einzelner Marker war prädiktiv für Serokonversion.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Klinikstudie, direkt übertragbar auf deutsches Transplantationssystem mit vergleichbarer Immunsuppression.</w:t>
      </w:r>
    </w:p>
    <w:p>
      <w:r>
        <w:rPr>
          <w:color w:val="5A7D3A"/>
          <w:sz w:val="18"/>
        </w:rPr>
        <w:t>https://pubmed.ncbi.nlm.nih.gov/42676352/</w:t>
      </w:r>
    </w:p>
    <w:p>
      <w:pPr>
        <w:pStyle w:val="Heading2"/>
      </w:pPr>
      <w:r>
        <w:t>IL-33 und sST2 nach Tdap-Booster-Impfung bei finnischen Kindern</w:t>
      </w:r>
    </w:p>
    <w:p>
      <w:r>
        <w:rPr>
          <w:i/>
          <w:color w:val="666666"/>
          <w:sz w:val="18"/>
        </w:rPr>
        <w:t>Anabe D et al.  ·  Cytokine  ·  13.08.2026  ·  PMID 42594457</w:t>
      </w:r>
    </w:p>
    <w:p>
      <w:r>
        <w:t>Longitudinale Untersuchung von Interleukin-33 und löslichem ST2 in Serum vor und nach Tdap-IPV-Booster-Impfung in unterschiedlichen Altersgruppen (7–70 Jahre).</w:t>
      </w:r>
    </w:p>
    <w:p>
      <w:r>
        <w:rPr>
          <w:b/>
        </w:rPr>
        <w:t xml:space="preserve">Ergebnis: </w:t>
      </w:r>
      <w:r>
        <w:t>IL-33 in 70 % der Fälle nicht nachweisbar. Serum-sST2 zeigte signifikanten Anstieg über 365 Tage (p&lt;0,001), mit höherem Ausgangswert bei jüngeren Altersgruppen. Keine Assoziation zwischen IL-33/sST2 und Impfantwort oder Zytokinen.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vergleichbares skandinavisches Gesundheitssystem und Register; etablierte Referenzwerte für präklinische Marker.</w:t>
      </w:r>
    </w:p>
    <w:p>
      <w:r>
        <w:rPr>
          <w:color w:val="5A7D3A"/>
          <w:sz w:val="18"/>
        </w:rPr>
        <w:t>https://pubmed.ncbi.nlm.nih.gov/42594457/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2026-09-17T06:00:00Z</dcterms:created>
  <dcterms:modified xsi:type="dcterms:W3CDTF">2026-09-17T06:00:00Z</dcterms:modified>
  <cp:category/>
</cp:coreProperties>
</file>