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18.09.2026  |  6 Studien  |  impfen.m-vf.de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RSV-Hospitalisierungen vor Impfstoffeinführung: Altersgruppen und Datenlücken</w:t>
      </w:r>
    </w:p>
    <w:p>
      <w:r>
        <w:rPr>
          <w:i/>
          <w:color w:val="666666"/>
          <w:sz w:val="18"/>
        </w:rPr>
        <w:t>Imai-Boulter C et al.  ·  Med J Aust  ·  Sept. 2026  ·  PMID 42754405</w:t>
      </w:r>
    </w:p>
    <w:p>
      <w:r>
        <w:t>Retrospektive bevölkerungsbasierte Studie zur RSV-Krankheitslast in Australien vor Immunisierungsstart (2016–2019 Hospitalisierungen, 2023 Labor-Meldungen).</w:t>
      </w:r>
    </w:p>
    <w:p>
      <w:r>
        <w:rPr>
          <w:b/>
        </w:rPr>
        <w:t xml:space="preserve">Ergebnis: </w:t>
      </w:r>
      <w:r>
        <w:t>Hospitalisierungen bei &lt;3 Monaten alt: 4014/100000, bei ≥65 Jahren: 122/100000 (steigende Tendenz); 55 % der Bronchiolitiden mit ungeklärter Ursache; Labor-Meldungen höchst bei 6–11 Monaten (7778/100000). Zeigt Datenlücken bei Fallerfassung und Testfrequenz.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(Versorgungsdaten verfügbar); ähnliche Datenstrukturen in Deutschland schwächer (kein nationales Impfregister).</w:t>
      </w:r>
    </w:p>
    <w:p>
      <w:r>
        <w:rPr>
          <w:color w:val="5A7D3A"/>
          <w:sz w:val="18"/>
        </w:rPr>
        <w:t>https://pubmed.ncbi.nlm.nih.gov/42754405/</w:t>
      </w:r>
    </w:p>
    <w:p>
      <w:pPr>
        <w:pStyle w:val="Heading2"/>
      </w:pPr>
      <w:r>
        <w:t>MZB1-Spiegel sagen Langzeitschutz nach Hepatitis-B-Impfung voraus</w:t>
      </w:r>
    </w:p>
    <w:p>
      <w:r>
        <w:rPr>
          <w:i/>
          <w:color w:val="666666"/>
          <w:sz w:val="18"/>
        </w:rPr>
        <w:t>Huang ML et al.  ·  Front Immunol  ·  02.09.2026  ·  PMID 42751130</w:t>
      </w:r>
    </w:p>
    <w:p>
      <w:r>
        <w:t>Single-Cell-RNA-Seq plus nested case-control und Interventionsstudie zur Identifikation von B-Zell-Markern für stabilen Anti-HBs-Schutz.</w:t>
      </w:r>
    </w:p>
    <w:p>
      <w:r>
        <w:rPr>
          <w:b/>
        </w:rPr>
        <w:t xml:space="preserve">Ergebnis: </w:t>
      </w:r>
      <w:r>
        <w:t>MZB1 signifikant erhöht in B-Zellen von Langzeitschützer/innen (p=2,1e-12); Serum-MZB1 &gt;1000 mIU/ml nach 30 Jahren: 7,1±2,2 ng/ml vs. Anti-HBs-Negative: 0,96±0,1 ng/ml (p&lt;0,0001); MZB1 korreliert stark mit Anti-HBs-Titer (r=0,892). MZB1 schon nach 1. Dosis erhöht, VE besser bei hohen MZB1-Konzentrationen.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(Validierungskohorten mobil), Biomarker universal; kein nationales Vorteil, aber wissenschaftlich relevant.</w:t>
      </w:r>
    </w:p>
    <w:p>
      <w:r>
        <w:rPr>
          <w:color w:val="5A7D3A"/>
          <w:sz w:val="18"/>
        </w:rPr>
        <w:t>https://pubmed.ncbi.nlm.nih.gov/42751130/</w:t>
      </w:r>
    </w:p>
    <w:p>
      <w:pPr>
        <w:pStyle w:val="Heading2"/>
      </w:pPr>
      <w:r>
        <w:t>Wertaffirmation in Impfkampagnen: Small Effects auf Impfbereitschaft</w:t>
      </w:r>
    </w:p>
    <w:p>
      <w:r>
        <w:rPr>
          <w:i/>
          <w:color w:val="666666"/>
          <w:sz w:val="18"/>
        </w:rPr>
        <w:t>Wolsko C et al.  ·  PLoS One  ·  16.09.2026  ·  PMID 42748077</w:t>
      </w:r>
    </w:p>
    <w:p>
      <w:r>
        <w:t>Online-Befragung von 1170 Ungeimpften (USA, Frühjahr 2021) zu COVID-Impfbotschaften, die auf persönliche Werte ausgerichtet sind.</w:t>
      </w:r>
    </w:p>
    <w:p>
      <w:r>
        <w:rPr>
          <w:b/>
        </w:rPr>
        <w:t xml:space="preserve">Ergebnis: </w:t>
      </w:r>
      <w:r>
        <w:t>Botschaften, die Misstrauen in Regierung und Sorgen vor Freiheitsbeschränkung bestätigten, zeigten höhere Impfbereitschaft und mehr Vertrauen als Kontrolle; Effektgrößen klein, aber bedeutsam für Vaccine Hesitancy-Subgruppen.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(Wertbetonung kulturabhängig); Kommunikationsstrategie prinzipiell übertragbar, aber Wertrahmen müssen regional angepasst werden.</w:t>
      </w:r>
    </w:p>
    <w:p>
      <w:r>
        <w:rPr>
          <w:color w:val="5A7D3A"/>
          <w:sz w:val="18"/>
        </w:rPr>
        <w:t>https://pubmed.ncbi.nlm.nih.gov/42748077/</w:t>
      </w:r>
    </w:p>
    <w:p>
      <w:pPr>
        <w:pStyle w:val="Heading2"/>
      </w:pPr>
      <w:r>
        <w:t>Impf-Fachkompetenz in Äthiopien schwach: nur 50 % erfüllen Mindeststandard</w:t>
      </w:r>
    </w:p>
    <w:p>
      <w:r>
        <w:rPr>
          <w:i/>
          <w:color w:val="666666"/>
          <w:sz w:val="18"/>
        </w:rPr>
        <w:t>Olani A et al.  ·  PLoS One  ·  15.09.2026  ·  PMID 42743175</w:t>
      </w:r>
    </w:p>
    <w:p>
      <w:r>
        <w:t>Observationale Studie mit Checklisten zur Impf-Fachkompetenz in 34 äthiopischen Gesundheitseinrichtungen.</w:t>
      </w:r>
    </w:p>
    <w:p>
      <w:r>
        <w:rPr>
          <w:b/>
        </w:rPr>
        <w:t xml:space="preserve">Ergebnis: </w:t>
      </w:r>
      <w:r>
        <w:t>340 Impfungen beobachtet; Gesamtkompetenz 50 % (Schwelle: 80 %); beste Leistung: Verabreichung (71 %), schlechteste: Dokumentation (22 %); Defizite in Infektionskontrolle und Patienten-Kommunikation. Lücke zwischen theoretischem Wissen und praktischer 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 (Niedrig-Ressourcen), begrenzte Übertragbarkeit; zeigt jedoch global relevante Schulungs- und Überwachungsdefizite.</w:t>
      </w:r>
    </w:p>
    <w:p>
      <w:r>
        <w:rPr>
          <w:color w:val="5A7D3A"/>
          <w:sz w:val="18"/>
        </w:rPr>
        <w:t>https://pubmed.ncbi.nlm.nih.gov/42743175/</w:t>
      </w:r>
    </w:p>
    <w:p>
      <w:pPr>
        <w:pStyle w:val="Heading2"/>
      </w:pPr>
      <w:r>
        <w:t>Ökologische Studien zu Impfeffekten könnten Versorgungsdaten für Deutschland liefern</w:t>
      </w:r>
    </w:p>
    <w:p>
      <w:r>
        <w:rPr>
          <w:i/>
          <w:color w:val="666666"/>
          <w:sz w:val="18"/>
        </w:rPr>
        <w:t>Nolting T et al.  ·  BMJ Open  ·  11.09.2026  ·  PMID 42731829</w:t>
      </w:r>
    </w:p>
    <w:p>
      <w:r>
        <w:t>Scoping Review, die ökologische Studien zu Impfeffektivität systematisieren soll, mit Fokus auf Deutschland.</w:t>
      </w:r>
    </w:p>
    <w:p>
      <w:r>
        <w:rPr>
          <w:b/>
        </w:rPr>
        <w:t xml:space="preserve">Ergebnis: </w:t>
      </w:r>
      <w:r>
        <w:t>Studienprotokoll ohne empirische Ergebnisse; zeigt einen Forschungsbedarf für vergleichende Analysen der Impfbeiträge zu Morbidität und Mortalität.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zukünftige Datenquelle; Übertragbarkeit hängt von Verfügbarkeit von Routinedaten ab.</w:t>
      </w:r>
    </w:p>
    <w:p>
      <w:r>
        <w:rPr>
          <w:color w:val="5A7D3A"/>
          <w:sz w:val="18"/>
        </w:rPr>
        <w:t>https://pubmed.ncbi.nlm.nih.gov/42731829/</w:t>
      </w:r>
    </w:p>
    <w:p>
      <w:pPr>
        <w:pStyle w:val="Heading2"/>
      </w:pPr>
      <w:r>
        <w:t>Impfantwort bei Krebs und Immunsuppression: RESPONSE-Kohortenstudie</w:t>
      </w:r>
    </w:p>
    <w:p>
      <w:r>
        <w:rPr>
          <w:i/>
          <w:color w:val="666666"/>
          <w:sz w:val="18"/>
        </w:rPr>
        <w:t>Felipe Fumero E et al.  ·  JMIR Res Protoc  ·  23.07.2026  ·  PMID 42492070</w:t>
      </w:r>
    </w:p>
    <w:p>
      <w:r>
        <w:t>Prospektive Kohortenstudie zu humoralen und zellulären Reaktionen auf Atemwegs-Impfstoffe bei onkologischen Patienten, Rekrutierung seit März 2025 laufend.</w:t>
      </w:r>
    </w:p>
    <w:p>
      <w:r>
        <w:rPr>
          <w:b/>
        </w:rPr>
        <w:t xml:space="preserve">Ergebnis: </w:t>
      </w:r>
      <w:r>
        <w:t>Protokoll mit laufender Rekrutierung; Fokus auf frühe und späte Booster-Effekte. Finale Analysen ab Q3 2026 geplant; zielt auf T-Zell-Antworten, die bei dieser Gruppe zuverlässiger sind als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(Köln, Universitätsklinik), direkt übertragbar auf Versorgungsfragen bei Immunsuppression.</w:t>
      </w:r>
    </w:p>
    <w:p>
      <w:r>
        <w:rPr>
          <w:color w:val="5A7D3A"/>
          <w:sz w:val="18"/>
        </w:rPr>
        <w:t>https://pubmed.ncbi.nlm.nih.gov/42492070/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