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27.08.2026  |  6 Studien  |  impfen.m-vf.de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Finnlands zentrales Impfsystem erreicht hohe Quoten, kämpft aber mit Eigenverantwortung und Chancengerechtigkeit</w:t>
      </w:r>
    </w:p>
    <w:p>
      <w:r>
        <w:rPr>
          <w:i/>
          <w:color w:val="666666"/>
          <w:sz w:val="18"/>
        </w:rPr>
        <w:t>Pattyn J et al.  ·  Hum Vaccin Immunother  ·  26.08.2026  ·  PMID 42647143</w:t>
      </w:r>
    </w:p>
    <w:p>
      <w:r>
        <w:t>Eine strukturierte Literaturanalyse mit Experteneingaben beschrieb Finnlands National Vaccination Program (NVP) für Erwachsene, seine Stärken und Hürden.</w:t>
      </w:r>
    </w:p>
    <w:p>
      <w:r>
        <w:rPr>
          <w:b/>
        </w:rPr>
        <w:t xml:space="preserve">Ergebnis: </w:t>
      </w:r>
      <w:r>
        <w:t>Finnlands zentralisiertes, kostenlos bereitgestelltes NVP mit Bevölkerungsregistern erlaubt präzise Monitoring von Abdeckung, Sicherheit und Wirkung. Herausforderungen: Impfung ist individuelle Verantwortung (Compliance-Problem), Kosten für nicht-NVP-Impfstoffe erzeugen Ungleichheit, Impfvertrauen leicht rückläufig. Die CUBE wurde gegründet, um Verhaltensbarrieren zu verstehen.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 mit Impfregister; zeigt Möglichkeiten und Limits zentralisierter Systeme.</w:t>
      </w:r>
    </w:p>
    <w:p>
      <w:r>
        <w:rPr>
          <w:color w:val="5A7D3A"/>
          <w:sz w:val="18"/>
        </w:rPr>
        <w:t>https://pubmed.ncbi.nlm.nih.gov/42647143/</w:t>
      </w:r>
    </w:p>
    <w:p>
      <w:pPr>
        <w:pStyle w:val="Heading2"/>
      </w:pPr>
      <w:r>
        <w:t>HPV-Wissen und Vertrauen in Gesundheitsbehörden prägen Impfbereitschaft in Rumänien</w:t>
      </w:r>
    </w:p>
    <w:p>
      <w:r>
        <w:rPr>
          <w:i/>
          <w:color w:val="666666"/>
          <w:sz w:val="18"/>
        </w:rPr>
        <w:t>Nati ID et al.  ·  Med Sci (Basel)  ·  25.07.2026  ·  PMID 42646566</w:t>
      </w:r>
    </w:p>
    <w:p>
      <w:r>
        <w:t>Eine rumänische Querschnittsumfrage untersuchte kognitive und institutionelle Faktoren für HPV-Impfbereitschaft bei erwachsenen Frauen.</w:t>
      </w:r>
    </w:p>
    <w:p>
      <w:r>
        <w:rPr>
          <w:b/>
        </w:rPr>
        <w:t xml:space="preserve">Ergebnis: </w:t>
      </w:r>
      <w:r>
        <w:t>Unter 368 Befragten lag die Impfquote nur bei 28,6 %. Hohes HPV-Wissen korrelierte mit Impfbereitschaft (p=0,001), ebenso Vertrauen in Behörden. Digitale Fehlinformation zeigte schwachen negativen Zusammenhang mit Wissen, beeinflusste aber Impfbereitschaft nicht direkt. Die Autoren empfehlen Übergang von optionalem zu aktivem Angebot (Opt-out-Modell).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Süd-/Osteuropa mit ähnlicher administrativer Struktur; zeigt Wirkung von Vertrauen und Struktur.</w:t>
      </w:r>
    </w:p>
    <w:p>
      <w:r>
        <w:rPr>
          <w:color w:val="5A7D3A"/>
          <w:sz w:val="18"/>
        </w:rPr>
        <w:t>https://pubmed.ncbi.nlm.nih.gov/42646566/</w:t>
      </w:r>
    </w:p>
    <w:p>
      <w:pPr>
        <w:pStyle w:val="Heading2"/>
      </w:pPr>
      <w:r>
        <w:t>Lesbarer Weblink in digitalen Impfeinladungen erhöht Vertrauen und Buchungsbereitschaft</w:t>
      </w:r>
    </w:p>
    <w:p>
      <w:r>
        <w:rPr>
          <w:i/>
          <w:color w:val="666666"/>
          <w:sz w:val="18"/>
        </w:rPr>
        <w:t>Oakley CM et al.  ·  J Med Internet Res  ·  25.08.2026  ·  PMID 42640841</w:t>
      </w:r>
    </w:p>
    <w:p>
      <w:r>
        <w:t>Drei randomisierte Onlinestudien mit britischen Teilnehmern testeten, wie das Design von Web-Links in digitalen COVID-19-Impfeinladungen Vertrauen und Buchungsbereitschaft beeinflusst.</w:t>
      </w:r>
    </w:p>
    <w:p>
      <w:r>
        <w:rPr>
          <w:b/>
        </w:rPr>
        <w:t xml:space="preserve">Ergebnis: </w:t>
      </w:r>
      <w:r>
        <w:t>Im Kontrollarm (komplizierter Link) waren 63 % unsicher oder unwillig, ihn zu nutzen. Ein klarer Link (‚vaccine-booking.nhs.uk') verbesserte das Vertrauen (β=0,26 in Exp.1, β=0,24 in Exp.3), ebenso ein Text-eingebetteter Link (β=0,18 in Exp.2, β=0,17 in Exp.3). Ein verkürzter Link brachte keinen Gewinn. Einfache, erkennbare Links erhöhten Buchungsintention über verbessertes Vertrauen und Host-Erkennung.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Großbritannien; einfache Designprinzipien auch für deutsches Portal- und E-Mail-System anwendbar.</w:t>
      </w:r>
    </w:p>
    <w:p>
      <w:r>
        <w:rPr>
          <w:color w:val="5A7D3A"/>
          <w:sz w:val="18"/>
        </w:rPr>
        <w:t>https://pubmed.ncbi.nlm.nih.gov/42640841/</w:t>
      </w:r>
    </w:p>
    <w:p>
      <w:pPr>
        <w:pStyle w:val="Heading2"/>
      </w:pPr>
      <w:r>
        <w:t>Schwere Nebenwirkungen nach COVID-19-Auffrischung vermindern die Bereitschaft zur erneuten Impfung</w:t>
      </w:r>
    </w:p>
    <w:p>
      <w:r>
        <w:rPr>
          <w:i/>
          <w:color w:val="666666"/>
          <w:sz w:val="18"/>
        </w:rPr>
        <w:t>Huiberts AJ et al.  ·  Vaccine  ·  17.09.2026  ·  PMID 42603508</w:t>
      </w:r>
    </w:p>
    <w:p>
      <w:r>
        <w:t>Eine niederländische Kohortenstudie untersuchte, ob das Auftreten und die Schwere von Nebenwirkungen nach COVID-19-Auffrischimpfungen die Bereitschaft zur Impfung im Folgejahr beeinflussen.</w:t>
      </w:r>
    </w:p>
    <w:p>
      <w:r>
        <w:rPr>
          <w:b/>
        </w:rPr>
        <w:t xml:space="preserve">Ergebnis: </w:t>
      </w:r>
      <w:r>
        <w:t>Von 11.010 Geimpften (2022) waren 73,7 % im nächsten Jahr erneut geimpft. Systémische Nebenwirkungen 2022 waren mit niedrigerem Risiko für Wiederimpfung 2023 verbunden (OR 0,84, 95%-KI 0,76–0,93), besonders bei mittleren (OR 0,79) oder schweren Ereignissen (OR 0,45) sowie Dauer &gt;5 Tagen (OR 0,72). Das Muster wiederholte sich für 2024. Dies zeigt, dass direkte Erfahrungen mit Nebenwirkungen künftige Impfbereitschaft senken.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mit Impfregister; deutsche Routinedaten vergleichbar.</w:t>
      </w:r>
    </w:p>
    <w:p>
      <w:r>
        <w:rPr>
          <w:color w:val="5A7D3A"/>
          <w:sz w:val="18"/>
        </w:rPr>
        <w:t>https://pubmed.ncbi.nlm.nih.gov/42603508/</w:t>
      </w:r>
    </w:p>
    <w:p>
      <w:pPr>
        <w:pStyle w:val="Heading2"/>
      </w:pPr>
      <w:r>
        <w:t>Messaging zu ‚gesundem Altern' erhöht Impfbereitschaft bei älteren Erwachsenen in Frankreich</w:t>
      </w:r>
    </w:p>
    <w:p>
      <w:r>
        <w:rPr>
          <w:i/>
          <w:color w:val="666666"/>
          <w:sz w:val="18"/>
        </w:rPr>
        <w:t>Addario A et al.  ·  Vaccine  ·  17.09.2026  ·  PMID 42594637</w:t>
      </w:r>
    </w:p>
    <w:p>
      <w:r>
        <w:t>Eine französische Querschnittsumfrage mit Social-Marketing-Ansatz testete, welche Botschaften und Zugangsmerkmale die Impfintention bei Älteren (≥60 Jahren) verbessern.</w:t>
      </w:r>
    </w:p>
    <w:p>
      <w:r>
        <w:rPr>
          <w:b/>
        </w:rPr>
        <w:t xml:space="preserve">Ergebnis: </w:t>
      </w:r>
      <w:r>
        <w:t>Von 2.416 Befragten hatten 15,6 % hohe, 81,7 % mittlere und 2,8 % niedrige Impfbereitschaft. Zustimmung, dass Impfung zu gesundem Altern beiträgt, stieg von 3 % (niedrig) auf 56 % (mittel) und 78 % (hoch). Botschaften zu Schlag- und Herzinfarktrisiko zeigten höchste Intention (69–67 %). Gültigkeitsvoucher wurden positiv aufgenommen (57–81 % würden impfen lassen). Ärzte waren vertrauteste Informationsquelle (93–95 %).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mit ähnlichem Versicherungssystem; Fokus auf Rahmung und Zugang in DACH übertragbar.</w:t>
      </w:r>
    </w:p>
    <w:p>
      <w:r>
        <w:rPr>
          <w:color w:val="5A7D3A"/>
          <w:sz w:val="18"/>
        </w:rPr>
        <w:t>https://pubmed.ncbi.nlm.nih.gov/42594637/</w:t>
      </w:r>
    </w:p>
    <w:p>
      <w:pPr>
        <w:pStyle w:val="Heading2"/>
      </w:pPr>
      <w:r>
        <w:t>Omicron-JN.1-Impfstoff bot in den Niederlanden nur begrenzte Zusatzschutzwirkung</w:t>
      </w:r>
    </w:p>
    <w:p>
      <w:r>
        <w:rPr>
          <w:i/>
          <w:color w:val="666666"/>
          <w:sz w:val="18"/>
        </w:rPr>
        <w:t>Huiberts AJ et al.  ·  Vaccine  ·  17.09.2026  ·  PMID 42585808</w:t>
      </w:r>
    </w:p>
    <w:p>
      <w:r>
        <w:t>Eine prospektive holländische Kohortenstudie quantifizierte die Wirksamkeit der JN.1-Varianten-angepassten COVID-19-Impfung gegen Infektionen von September 2024 bis Februar 2025.</w:t>
      </w:r>
    </w:p>
    <w:p>
      <w:r>
        <w:rPr>
          <w:b/>
        </w:rPr>
        <w:t xml:space="preserve">Ergebnis: </w:t>
      </w:r>
      <w:r>
        <w:t>Von 4.490 Teilnehmern &lt;60 Jahren waren 29 % geimpft, von 19.349 Älteren 74 %. Bei 2.142 Infektionen betrug die Impfwirksamkeit 16 % (&lt;60 Jahre, 95%-KI –11–36) und 13 % (≥60 Jahre, 95%-KI 2–23). Gegen KP.3.1.1 und XEC unterschied sich der Schutz nicht signifikant. Die begrenzte Schutzwirkung in einer Phase niedriger Inzidenz deutet auf waning immunity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mit vollständiger Impfdokumentation und genetischer Variantenbestimmung.</w:t>
      </w:r>
    </w:p>
    <w:p>
      <w:r>
        <w:rPr>
          <w:color w:val="5A7D3A"/>
          <w:sz w:val="18"/>
        </w:rPr>
        <w:t>https://pubmed.ncbi.nlm.nih.gov/42585808/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2026-08-27T06:00:00Z</dcterms:created>
  <dcterms:modified xsi:type="dcterms:W3CDTF">2026-08-27T06:00:00Z</dcterms:modified>
  <cp:category/>
</cp:coreProperties>
</file>