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Impfen und Impfpraevention</w:t>
      </w:r>
    </w:p>
    <w:p>
      <w:r>
        <w:rPr>
          <w:i/>
          <w:color w:val="666666"/>
          <w:sz w:val="18"/>
        </w:rPr>
        <w:t>Stand: 27.08.2026  |  23 Studien  |  impfen.m-vf.de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Finnlands zentrales Impfsystem erreicht hohe Quoten, kämpft aber mit Eigenverantwortung und Chancengerechtigkeit</w:t>
      </w:r>
    </w:p>
    <w:p>
      <w:r>
        <w:rPr>
          <w:i/>
          <w:color w:val="666666"/>
          <w:sz w:val="18"/>
        </w:rPr>
        <w:t>Pattyn J et al.  ·  Hum Vaccin Immunother  ·  26.08.2026  ·  PMID 42647143</w:t>
      </w:r>
    </w:p>
    <w:p>
      <w:r>
        <w:t>Eine strukturierte Literaturanalyse mit Experteneingaben beschrieb Finnlands National Vaccination Program (NVP) für Erwachsene, seine Stärken und Hürden.</w:t>
      </w:r>
    </w:p>
    <w:p>
      <w:r>
        <w:rPr>
          <w:b/>
        </w:rPr>
        <w:t xml:space="preserve">Ergebnis: </w:t>
      </w:r>
      <w:r>
        <w:t>Finnlands zentralisiertes, kostenlos bereitgestelltes NVP mit Bevölkerungsregistern erlaubt präzise Monitoring von Abdeckung, Sicherheit und Wirkung. Herausforderungen: Impfung ist individuelle Verantwortung (Compliance-Problem), Kosten für nicht-NVP-Impfstoffe erzeugen Ungleichheit, Impfvertrauen leicht rückläufig. Die CUBE wurde gegründet, um Verhaltensbarrieren zu verstehen.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 mit Impfregister; zeigt Möglichkeiten und Limits zentralisierter Systeme.</w:t>
      </w:r>
    </w:p>
    <w:p>
      <w:r>
        <w:rPr>
          <w:color w:val="5A7D3A"/>
          <w:sz w:val="18"/>
        </w:rPr>
        <w:t>https://pubmed.ncbi.nlm.nih.gov/42647143/</w:t>
      </w:r>
    </w:p>
    <w:p>
      <w:pPr>
        <w:pStyle w:val="Heading2"/>
      </w:pPr>
      <w:r>
        <w:t>HPV-Wissen und Vertrauen in Gesundheitsbehörden prägen Impfbereitschaft in Rumänien</w:t>
      </w:r>
    </w:p>
    <w:p>
      <w:r>
        <w:rPr>
          <w:i/>
          <w:color w:val="666666"/>
          <w:sz w:val="18"/>
        </w:rPr>
        <w:t>Nati ID et al.  ·  Med Sci (Basel)  ·  25.07.2026  ·  PMID 42646566</w:t>
      </w:r>
    </w:p>
    <w:p>
      <w:r>
        <w:t>Eine rumänische Querschnittsumfrage untersuchte kognitive und institutionelle Faktoren für HPV-Impfbereitschaft bei erwachsenen Frauen.</w:t>
      </w:r>
    </w:p>
    <w:p>
      <w:r>
        <w:rPr>
          <w:b/>
        </w:rPr>
        <w:t xml:space="preserve">Ergebnis: </w:t>
      </w:r>
      <w:r>
        <w:t>Unter 368 Befragten lag die Impfquote nur bei 28,6 %. Hohes HPV-Wissen korrelierte mit Impfbereitschaft (p=0,001), ebenso Vertrauen in Behörden. Digitale Fehlinformation zeigte schwachen negativen Zusammenhang mit Wissen, beeinflusste aber Impfbereitschaft nicht direkt. Die Autoren empfehlen Übergang von optionalem zu aktivem Angebot (Opt-out-Modell).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Süd-/Osteuropa mit ähnlicher administrativer Struktur; zeigt Wirkung von Vertrauen und Struktur.</w:t>
      </w:r>
    </w:p>
    <w:p>
      <w:r>
        <w:rPr>
          <w:color w:val="5A7D3A"/>
          <w:sz w:val="18"/>
        </w:rPr>
        <w:t>https://pubmed.ncbi.nlm.nih.gov/42646566/</w:t>
      </w:r>
    </w:p>
    <w:p>
      <w:pPr>
        <w:pStyle w:val="Heading2"/>
      </w:pPr>
      <w:r>
        <w:t>Lesbarer Weblink in digitalen Impfeinladungen erhöht Vertrauen und Buchungsbereitschaft</w:t>
      </w:r>
    </w:p>
    <w:p>
      <w:r>
        <w:rPr>
          <w:i/>
          <w:color w:val="666666"/>
          <w:sz w:val="18"/>
        </w:rPr>
        <w:t>Oakley CM et al.  ·  J Med Internet Res  ·  25.08.2026  ·  PMID 42640841</w:t>
      </w:r>
    </w:p>
    <w:p>
      <w:r>
        <w:t>Drei randomisierte Onlinestudien mit britischen Teilnehmern testeten, wie das Design von Web-Links in digitalen COVID-19-Impfeinladungen Vertrauen und Buchungsbereitschaft beeinflusst.</w:t>
      </w:r>
    </w:p>
    <w:p>
      <w:r>
        <w:rPr>
          <w:b/>
        </w:rPr>
        <w:t xml:space="preserve">Ergebnis: </w:t>
      </w:r>
      <w:r>
        <w:t>Im Kontrollarm (komplizierter Link) waren 63 % unsicher oder unwillig, ihn zu nutzen. Ein klarer Link (‚vaccine-booking.nhs.uk') verbesserte das Vertrauen (β=0,26 in Exp.1, β=0,24 in Exp.3), ebenso ein Text-eingebetteter Link (β=0,18 in Exp.2, β=0,17 in Exp.3). Ein verkürzter Link brachte keinen Gewinn. Einfache, erkennbare Links erhöhten Buchungsintention über verbessertes Vertrauen und Host-Erkennung.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Großbritannien; einfache Designprinzipien auch für deutsches Portal- und E-Mail-System anwendbar.</w:t>
      </w:r>
    </w:p>
    <w:p>
      <w:r>
        <w:rPr>
          <w:color w:val="5A7D3A"/>
          <w:sz w:val="18"/>
        </w:rPr>
        <w:t>https://pubmed.ncbi.nlm.nih.gov/42640841/</w:t>
      </w:r>
    </w:p>
    <w:p>
      <w:pPr>
        <w:pStyle w:val="Heading2"/>
      </w:pPr>
      <w:r>
        <w:t>Schwere Nebenwirkungen nach COVID-19-Auffrischung vermindern die Bereitschaft zur erneuten Impfung</w:t>
      </w:r>
    </w:p>
    <w:p>
      <w:r>
        <w:rPr>
          <w:i/>
          <w:color w:val="666666"/>
          <w:sz w:val="18"/>
        </w:rPr>
        <w:t>Huiberts AJ et al.  ·  Vaccine  ·  17.09.2026  ·  PMID 42603508</w:t>
      </w:r>
    </w:p>
    <w:p>
      <w:r>
        <w:t>Eine niederländische Kohortenstudie untersuchte, ob das Auftreten und die Schwere von Nebenwirkungen nach COVID-19-Auffrischimpfungen die Bereitschaft zur Impfung im Folgejahr beeinflussen.</w:t>
      </w:r>
    </w:p>
    <w:p>
      <w:r>
        <w:rPr>
          <w:b/>
        </w:rPr>
        <w:t xml:space="preserve">Ergebnis: </w:t>
      </w:r>
      <w:r>
        <w:t>Von 11.010 Geimpften (2022) waren 73,7 % im nächsten Jahr erneut geimpft. Systémische Nebenwirkungen 2022 waren mit niedrigerem Risiko für Wiederimpfung 2023 verbunden (OR 0,84, 95%-KI 0,76–0,93), besonders bei mittleren (OR 0,79) oder schweren Ereignissen (OR 0,45) sowie Dauer &gt;5 Tagen (OR 0,72). Das Muster wiederholte sich für 2024. Dies zeigt, dass direkte Erfahrungen mit Nebenwirkungen künftige Impfbereitschaft senken.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mit Impfregister; deutsche Routinedaten vergleichbar.</w:t>
      </w:r>
    </w:p>
    <w:p>
      <w:r>
        <w:rPr>
          <w:color w:val="5A7D3A"/>
          <w:sz w:val="18"/>
        </w:rPr>
        <w:t>https://pubmed.ncbi.nlm.nih.gov/42603508/</w:t>
      </w:r>
    </w:p>
    <w:p>
      <w:pPr>
        <w:pStyle w:val="Heading2"/>
      </w:pPr>
      <w:r>
        <w:t>Messaging zu ‚gesundem Altern' erhöht Impfbereitschaft bei älteren Erwachsenen in Frankreich</w:t>
      </w:r>
    </w:p>
    <w:p>
      <w:r>
        <w:rPr>
          <w:i/>
          <w:color w:val="666666"/>
          <w:sz w:val="18"/>
        </w:rPr>
        <w:t>Addario A et al.  ·  Vaccine  ·  17.09.2026  ·  PMID 42594637</w:t>
      </w:r>
    </w:p>
    <w:p>
      <w:r>
        <w:t>Eine französische Querschnittsumfrage mit Social-Marketing-Ansatz testete, welche Botschaften und Zugangsmerkmale die Impfintention bei Älteren (≥60 Jahren) verbessern.</w:t>
      </w:r>
    </w:p>
    <w:p>
      <w:r>
        <w:rPr>
          <w:b/>
        </w:rPr>
        <w:t xml:space="preserve">Ergebnis: </w:t>
      </w:r>
      <w:r>
        <w:t>Von 2.416 Befragten hatten 15,6 % hohe, 81,7 % mittlere und 2,8 % niedrige Impfbereitschaft. Zustimmung, dass Impfung zu gesundem Altern beiträgt, stieg von 3 % (niedrig) auf 56 % (mittel) und 78 % (hoch). Botschaften zu Schlag- und Herzinfarktrisiko zeigten höchste Intention (69–67 %). Gültigkeitsvoucher wurden positiv aufgenommen (57–81 % würden impfen lassen). Ärzte waren vertrauteste Informationsquelle (93–95 %).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mit ähnlichem Versicherungssystem; Fokus auf Rahmung und Zugang in DACH übertragbar.</w:t>
      </w:r>
    </w:p>
    <w:p>
      <w:r>
        <w:rPr>
          <w:color w:val="5A7D3A"/>
          <w:sz w:val="18"/>
        </w:rPr>
        <w:t>https://pubmed.ncbi.nlm.nih.gov/42594637/</w:t>
      </w:r>
    </w:p>
    <w:p>
      <w:pPr>
        <w:pStyle w:val="Heading2"/>
      </w:pPr>
      <w:r>
        <w:t>Omicron-JN.1-Impfstoff bot in den Niederlanden nur begrenzte Zusatzschutzwirkung</w:t>
      </w:r>
    </w:p>
    <w:p>
      <w:r>
        <w:rPr>
          <w:i/>
          <w:color w:val="666666"/>
          <w:sz w:val="18"/>
        </w:rPr>
        <w:t>Huiberts AJ et al.  ·  Vaccine  ·  17.09.2026  ·  PMID 42585808</w:t>
      </w:r>
    </w:p>
    <w:p>
      <w:r>
        <w:t>Eine prospektive holländische Kohortenstudie quantifizierte die Wirksamkeit der JN.1-Varianten-angepassten COVID-19-Impfung gegen Infektionen von September 2024 bis Februar 2025.</w:t>
      </w:r>
    </w:p>
    <w:p>
      <w:r>
        <w:rPr>
          <w:b/>
        </w:rPr>
        <w:t xml:space="preserve">Ergebnis: </w:t>
      </w:r>
      <w:r>
        <w:t>Von 4.490 Teilnehmern &lt;60 Jahren waren 29 % geimpft, von 19.349 Älteren 74 %. Bei 2.142 Infektionen betrug die Impfwirksamkeit 16 % (&lt;60 Jahre, 95%-KI –11–36) und 13 % (≥60 Jahre, 95%-KI 2–23). Gegen KP.3.1.1 und XEC unterschied sich der Schutz nicht signifikant. Die begrenzte Schutzwirkung in einer Phase niedriger Inzidenz deutet auf waning immunity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mit vollständiger Impfdokumentation und genetischer Variantenbestimmung.</w:t>
      </w:r>
    </w:p>
    <w:p>
      <w:r>
        <w:rPr>
          <w:color w:val="5A7D3A"/>
          <w:sz w:val="18"/>
        </w:rPr>
        <w:t>https://pubmed.ncbi.nlm.nih.gov/42585808/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Influenza-Impfskepsis bei georgischen Gesundheitspersonal senkt Impfquote über drei Jahre</w:t>
      </w:r>
    </w:p>
    <w:p>
      <w:r>
        <w:rPr>
          <w:i/>
          <w:color w:val="666666"/>
          <w:sz w:val="18"/>
        </w:rPr>
        <w:t>Artemchuk O et al.  ·  PLoS One  ·  25.08.2026  ·  PMID 42640914</w:t>
      </w:r>
    </w:p>
    <w:p>
      <w:r>
        <w:t>Prospektive Kohortenstudie in Georgien mit 403 Krankenhausmitarbeitenden über drei Influenza-Saisons (2021–2024): Welche Faktoren beeinflussen die Annahme der jährlichen Influenza-Impfung?</w:t>
      </w:r>
    </w:p>
    <w:p>
      <w:r>
        <w:rPr>
          <w:b/>
        </w:rPr>
        <w:t xml:space="preserve">Ergebnis: </w:t>
      </w:r>
      <w:r>
        <w:t>72 % erhielten mindestens einmal die Impfung, 28 % nie. Mangelndes Vertrauen in Sicherheit (aOR 0,27) und Wirksamkeit (aOR 0,36) sowie das Alter 40–49 Jahre (aOR 2,67) waren die Hauptfaktoren. Eine Klinik hatte deutlich niedrigere Quoten (aOR 0,06).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Kaukasus-Region mit WHO-Partner, aber begrenzte Übertragbarkeit auf deutsches System ohne Impfregister.</w:t>
      </w:r>
    </w:p>
    <w:p>
      <w:r>
        <w:rPr>
          <w:color w:val="5A7D3A"/>
          <w:sz w:val="18"/>
        </w:rPr>
        <w:t>https://pubmed.ncbi.nlm.nih.gov/42640914/</w:t>
      </w:r>
    </w:p>
    <w:p>
      <w:pPr>
        <w:pStyle w:val="Heading2"/>
      </w:pPr>
      <w:r>
        <w:t>Impfquote bei 24-Monate-Alten in Italien von 92,75 % auf 94,57 % durch Reorganisation der Dienste</w:t>
      </w:r>
    </w:p>
    <w:p>
      <w:r>
        <w:rPr>
          <w:i/>
          <w:color w:val="666666"/>
          <w:sz w:val="18"/>
        </w:rPr>
        <w:t>Scala A et al.  ·  Front Public Health  ·  10.08.2026  ·  PMID 42638716</w:t>
      </w:r>
    </w:p>
    <w:p>
      <w:r>
        <w:t>Qualitäts-Verbesserungsprojekt in ASL Napoli 3 Sud 2022–2024 mit M.A.S.T.E.R.-Framework: Wie ließ sich die gefallene Abdeckung von Primärserien wieder heben?</w:t>
      </w:r>
    </w:p>
    <w:p>
      <w:r>
        <w:rPr>
          <w:b/>
        </w:rPr>
        <w:t xml:space="preserve">Ergebnis: </w:t>
      </w:r>
      <w:r>
        <w:t>Quote 2023: 92,75 % (Rückgang von 94,57 % 2022). Nach Interventionen (standardisierte Erinnerungen, digitale Kalender, Schulung, Logistik-Überprüfung): 2024 → 94,57 % (+1,82 Pp.). Erinnerungen stiegen von 1.248 auf 2.136, vollendete Nachholtermine von 286 auf 612. Pädiater-Kooperation von 54,2 % auf 87,3 %.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südeuropäisches Sozialversicherungssystem, Dokumentation ähnlich Deutschland-Anforderungen.</w:t>
      </w:r>
    </w:p>
    <w:p>
      <w:r>
        <w:rPr>
          <w:color w:val="5A7D3A"/>
          <w:sz w:val="18"/>
        </w:rPr>
        <w:t>https://pubmed.ncbi.nlm.nih.gov/42638716/</w:t>
      </w:r>
    </w:p>
    <w:p>
      <w:pPr>
        <w:pStyle w:val="Heading2"/>
      </w:pPr>
      <w:r>
        <w:t>Schwangere in Gambia: Lücken beim COVID-19-Impfstoffzugang trotz neuer Leitlinien</w:t>
      </w:r>
    </w:p>
    <w:p>
      <w:r>
        <w:rPr>
          <w:i/>
          <w:color w:val="666666"/>
          <w:sz w:val="18"/>
        </w:rPr>
        <w:t>Nkereuwem O et al.  ·  BMJ Open  ·  20.08.2026  ·  PMID 42624601</w:t>
      </w:r>
    </w:p>
    <w:p>
      <w:r>
        <w:t>Qualitative Studie in Gambia mit 15 Fachpersonen und 29 Workshop-Teilnehmenden: Welche Barrieren verhindern, dass Schwangere COVID-19-Impfstoffe erhalten?</w:t>
      </w:r>
    </w:p>
    <w:p>
      <w:r>
        <w:rPr>
          <w:b/>
        </w:rPr>
        <w:t xml:space="preserve">Ergebnis: </w:t>
      </w:r>
      <w:r>
        <w:t>Evolvierende Sicherheitsleitlinien minderten Beratungsvertrauen und verstärkten Vaccine Hesitancy. Fragmentierte Dienste (nicht in Schwangerenvorsorge integriert), schwache Dokumentation von Nebenwirkungen und Misinformation waren Kernprobleme. Strategien: frühe Schulung, Koordination über Berufsgruppen, gestärkte Logistik und Sicherheitsmeldung.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Subsahara-Afrika, aber Befunde zu systemischer Fragmentierung relevant für Integrationsfragen.</w:t>
      </w:r>
    </w:p>
    <w:p>
      <w:r>
        <w:rPr>
          <w:color w:val="5A7D3A"/>
          <w:sz w:val="18"/>
        </w:rPr>
        <w:t>https://pubmed.ncbi.nlm.nih.gov/42624601/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Hochdosis-Grippeimpfstoff senkte Krankenhauseinweisungen bei Altenheimbewohnern um 31 Prozent</w:t>
      </w:r>
    </w:p>
    <w:p>
      <w:r>
        <w:rPr>
          <w:i/>
          <w:color w:val="666666"/>
          <w:sz w:val="18"/>
        </w:rPr>
        <w:t>Bricout H et al.  ·  Age Ageing  ·  03.08.2026  ·  PMID 42632918</w:t>
      </w:r>
    </w:p>
    <w:p>
      <w:r>
        <w:t>Französische Kohortenstudie verglich Wirksamkeit von Hochdosis- versus Standarddosis-Grippeimpfstoff gegen grippebedingte Krankenhauseinweisungen bei Bewohnern von Altenpflegeeinrichtungen (2022–2023).</w:t>
      </w:r>
    </w:p>
    <w:p>
      <w:r>
        <w:rPr>
          <w:b/>
        </w:rPr>
        <w:t xml:space="preserve">Ergebnis: </w:t>
      </w:r>
      <w:r>
        <w:t>Hochdosis-Impfstoff reduzierte grippebedingte Krankenhauseinweisungen um 30,8 % (95 % KI: 11,8–45,7 %; p = 0,0029), verglichen mit Standarddosis. Bei Pneumonie oder kombinierten Ergebnissen zeigte sich kein signifikanter Unterschied. Die Studie stützt bevorzugte Verwendung des Hochdosis-Impfstoffs in dieser Hochrisikogruppe.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mit vergleichbarem Sozialversicherungssystem und Langzeitpflege-Dokumentation wie Deutschland.</w:t>
      </w:r>
    </w:p>
    <w:p>
      <w:r>
        <w:rPr>
          <w:color w:val="5A7D3A"/>
          <w:sz w:val="18"/>
        </w:rPr>
        <w:t>https://pubmed.ncbi.nlm.nih.gov/42632918/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HPV-Impfung senkt Häufigkeit von Larynx- und Bindehautpapillomen in Dänemark</w:t>
      </w:r>
    </w:p>
    <w:p>
      <w:r>
        <w:rPr>
          <w:i/>
          <w:color w:val="666666"/>
          <w:sz w:val="18"/>
        </w:rPr>
        <w:t>Aakilde M et al.  ·  APMIS  ·  Aug. 2026  ·  PMID 42619272</w:t>
      </w:r>
    </w:p>
    <w:p>
      <w:r>
        <w:t>Register-Studie: 33 juvenile Larynx-, 134 Bindehautpapillom-Patienten 2005–2024 mit HPV-Subtypisierung und Impfstatus-Abfrage.</w:t>
      </w:r>
    </w:p>
    <w:p>
      <w:r>
        <w:rPr>
          <w:b/>
        </w:rPr>
        <w:t xml:space="preserve">Ergebnis: </w:t>
      </w:r>
      <w:r>
        <w:t>Larynxpapillom-Inzidenz sank von 0,190 pro 100.000 (2005–2013) auf 0,107 (2014–2024), nicht signifikant (p=0,145); keine Fälle bei geimpften Müttern. Bindehautpapillom-Inzidenz sank signifikant um 5,3 % pro Jahr (p=0,002). HPV-6/-11 in 74,1 % nachgewiesen. Studie zeigt Schutzeffekt des Impfprogramms auf Bindehautpapillome, juvenile Larynxpapillome bleiben selten und nur bei ungeimpften Müttern.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nationales Register, vergleichbare nordeuropäische Impfpraxis</w:t>
      </w:r>
    </w:p>
    <w:p>
      <w:r>
        <w:rPr>
          <w:color w:val="5A7D3A"/>
          <w:sz w:val="18"/>
        </w:rPr>
        <w:t>https://pubmed.ncbi.nlm.nih.gov/42619272/</w:t>
      </w:r>
    </w:p>
    <w:p>
      <w:pPr>
        <w:pStyle w:val="Heading2"/>
      </w:pPr>
      <w:r>
        <w:t>Hepatitis-B-Impfquoten bei trans und nicht-binären Menschen in Deutschland: Wer bleibt ungeimpft?</w:t>
      </w:r>
    </w:p>
    <w:p>
      <w:r>
        <w:rPr>
          <w:i/>
          <w:color w:val="666666"/>
          <w:sz w:val="18"/>
        </w:rPr>
        <w:t>Biallas R et al.  ·  BMC Public Health  ·  11.08.2026  ·  PMID 42576212</w:t>
      </w:r>
    </w:p>
    <w:p>
      <w:r>
        <w:t>Online-Survey von 2.358 trans und nicht-binären Personen zu Hepatitis-B-Diagnosen und Impfstatus, RKI-Studie.</w:t>
      </w:r>
    </w:p>
    <w:p>
      <w:r>
        <w:rPr>
          <w:b/>
        </w:rPr>
        <w:t xml:space="preserve">Ergebnis: </w:t>
      </w:r>
      <w:r>
        <w:t>HBV-Prävalenz 0,6 %, Impfquote 56,3 %. Quote höher bei Personen auf dem männlichen Spektrum (PR 1,29) als weiblich/nicht-binär; höher mit Hochschulbildung (PR 1,44) und in Großstädten (PR 1,22). 550 (21,7 %) waren impfempfohlen; von 213 mit negativem Impfstatus waren 65 % unter 30 und hätten Routine-Impfung erhalten sollen. Wissenslücken zu Hepatitis als Hauptprädiktor für niedrige Quote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RKI-Studie, deutsche Hochrisikopopulation; Ungleichheit nach Bildung, Geschlechtsidentität und Urbanisierung</w:t>
      </w:r>
    </w:p>
    <w:p>
      <w:r>
        <w:rPr>
          <w:color w:val="5A7D3A"/>
          <w:sz w:val="18"/>
        </w:rPr>
        <w:t>https://pubmed.ncbi.nlm.nih.gov/42576212/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MenACWY-Impfung und Meningokokken-Carriage bei Studierenden: Wirksamkeitsevidenz aus Carriage-Monitoring</w:t>
      </w:r>
    </w:p>
    <w:p>
      <w:r>
        <w:rPr>
          <w:i/>
          <w:color w:val="666666"/>
          <w:sz w:val="18"/>
        </w:rPr>
        <w:t>Harvey-Cowlishaw T et al.  ·  Front Public Health  ·  05.08.2026  ·  PMID 42621093</w:t>
      </w:r>
    </w:p>
    <w:p>
      <w:r>
        <w:t>Querschnittstudie (September + November 2024) an 400 Studierenden einer UK-Universität mit Keimkultur/PCR und Vollgenomsequenzierung von Meningokokken-Carriern.</w:t>
      </w:r>
    </w:p>
    <w:p>
      <w:r>
        <w:rPr>
          <w:b/>
        </w:rPr>
        <w:t xml:space="preserve">Ergebnis: </w:t>
      </w:r>
      <w:r>
        <w:t>Carriage-Rate Sepember 12,5 %, November 25,3 % (p&lt;0,05). Genogruppe C: null Isolate (100 % Reduktion durch MenACWY-Vakzinierung). Genogruppe Y: null verkappselte Isolate in dieser Kohorte, konsistent mit Impfeffektivität. Genogruppe B: 34,3 % (multipler Clonal Complex, teils hyperinvasiv). MenACWY schützt Studierende effektiv vor W/Y-Carriage; Genogruppe B bleibt 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Kariologie-Surveillance, vergleichbare adoleszente Impfprogramme</w:t>
      </w:r>
    </w:p>
    <w:p>
      <w:r>
        <w:rPr>
          <w:color w:val="5A7D3A"/>
          <w:sz w:val="18"/>
        </w:rPr>
        <w:t>https://pubmed.ncbi.nlm.nih.gov/42621093/</w:t>
      </w:r>
    </w:p>
    <w:p>
      <w:pPr>
        <w:pStyle w:val="Heading2"/>
      </w:pPr>
      <w:r>
        <w:t>Vorbuchte Impftermine für COVID-19: Burden-Vergleich und Wirkung auf Uptake-Intention</w:t>
      </w:r>
    </w:p>
    <w:p>
      <w:r>
        <w:rPr>
          <w:i/>
          <w:color w:val="666666"/>
          <w:sz w:val="18"/>
        </w:rPr>
        <w:t>Sanders JG et al.  ·  Vaccine  ·  30.08.2026  ·  PMID 42546637</w:t>
      </w:r>
    </w:p>
    <w:p>
      <w:r>
        <w:t>Formative Evaluationsstudie (Niederlande) in zwei Phasen – qualitativ (15 Interviews) und experimentell (n=1.886) – zur Wirkung von Vorbuchung vs. Selbstbuchung auf Impfintention.</w:t>
      </w:r>
    </w:p>
    <w:p>
      <w:r>
        <w:rPr>
          <w:b/>
        </w:rPr>
        <w:t xml:space="preserve">Ergebnis: </w:t>
      </w:r>
      <w:r>
        <w:t>Phase 1: Vorbuchung wurde als fürsorglich und auch als bevormundend wahrgenommen. Phase 2: Selbstbuchung wurde als weniger belastend wahrgenommen (β=−0,23, p&lt;0,05), führte aber nicht zu höherer Impfintention (aOR=1,11). Auch bei zögerlichen Personen kein Unterschied (aOR=0,88). Vorbuchung verändert COVID-19-Intention nicht – konservative Empfehlung: Selbstbuchung für bereits geimpfte Ältere.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(RIVM), vergleichbares Versicherungssystem und Impfinfrastruktur</w:t>
      </w:r>
    </w:p>
    <w:p>
      <w:r>
        <w:rPr>
          <w:color w:val="5A7D3A"/>
          <w:sz w:val="18"/>
        </w:rPr>
        <w:t>https://pubmed.ncbi.nlm.nih.gov/42546637/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Impfquoten in der Schwangerschaft in Deutschland 2004–2022: Was bleibt ungenutzt?</w:t>
      </w:r>
    </w:p>
    <w:p>
      <w:r>
        <w:rPr>
          <w:i/>
          <w:color w:val="666666"/>
          <w:sz w:val="18"/>
        </w:rPr>
        <w:t>Mulanje L et al.  ·  Sci Rep  ·  18.08.2026  ·  PMID 42613346</w:t>
      </w:r>
    </w:p>
    <w:p>
      <w:r>
        <w:t>Eine Analyse von über 2,8 Mio. Schwangerschaften in deutschen Krankenkassendaten zeigte, wie sich Impfquoten in der Schwangerschaft entwickelten.</w:t>
      </w:r>
    </w:p>
    <w:p>
      <w:r>
        <w:rPr>
          <w:b/>
        </w:rPr>
        <w:t xml:space="preserve">Ergebnis: </w:t>
      </w:r>
      <w:r>
        <w:t>Influenza-Impfquote bei Schwangeren stieg von 2 % (2004–2009) auf 19 % (2020–2022), Pertussis von 3 % (2015–2019) auf 37 % (2020–2022). Weniger als 50 % der empfohlenen Schwangerschaftsimpfungen wurden durchgeführt; Gründe bleiben unklar. Etwa 0,3 % erhielten kontraindizierte Lebendimpfstoffe.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 mit vollständiger Erfassung, direkt übertragbar auf deutsches Versorgungssystem.</w:t>
      </w:r>
    </w:p>
    <w:p>
      <w:r>
        <w:rPr>
          <w:color w:val="5A7D3A"/>
          <w:sz w:val="18"/>
        </w:rPr>
        <w:t>https://pubmed.ncbi.nlm.nih.gov/42613346/</w:t>
      </w:r>
    </w:p>
    <w:p>
      <w:pPr>
        <w:pStyle w:val="Heading2"/>
      </w:pPr>
      <w:r>
        <w:t>HPV-Impfung für Adoleszente: Verhaltenswissenschaftliche Entwicklung einer Intervention (15–17 Jahre)</w:t>
      </w:r>
    </w:p>
    <w:p>
      <w:r>
        <w:rPr>
          <w:i/>
          <w:color w:val="666666"/>
          <w:sz w:val="18"/>
        </w:rPr>
        <w:t>Flood T et al.  ·  PLoS One  ·  14.08.2026  ·  PMID 42599892</w:t>
      </w:r>
    </w:p>
    <w:p>
      <w:r>
        <w:t>Qualitative Studie mit fokussierten Interviews (Impfschwestern n=26, Schüler n=34, Lehrer/Schulnursen n=18) zur Entwicklung eines theoriegestützten HPV-Interventionsangebots.</w:t>
      </w:r>
    </w:p>
    <w:p>
      <w:r>
        <w:rPr>
          <w:b/>
        </w:rPr>
        <w:t xml:space="preserve">Ergebnis: </w:t>
      </w:r>
      <w:r>
        <w:t>Systematische Übersicht fand Mangel an Interventionen für diese Altersgruppe. Identifiziert wurden 12 Barrieren für drei Zielverhalten (Schülerentscheidung, Professionalisierung, öffentliche Akzeptanz). Entwickelte Intervention: schulgestützte HPV-Bildung mit Impfangebot, öffentliche Medienkampagne; Erfolg hängt von Unterstützung durch Behörden und Lehrplanintegration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Nordirland, ähnliche schulbasierte Impfstrukturen wie Deutschland, Barrier-Identifizierung übertragbar.</w:t>
      </w:r>
    </w:p>
    <w:p>
      <w:r>
        <w:rPr>
          <w:color w:val="5A7D3A"/>
          <w:sz w:val="18"/>
        </w:rPr>
        <w:t>https://pubmed.ncbi.nlm.nih.gov/42599892/</w:t>
      </w:r>
    </w:p>
    <w:p>
      <w:pPr>
        <w:pStyle w:val="Heading2"/>
      </w:pPr>
      <w:r>
        <w:t>COVID-19-Sterblichkeit bei Menschen mit schweren psychischen Erkrankungen: Übersterblichkeit trotz Impfung</w:t>
      </w:r>
    </w:p>
    <w:p>
      <w:r>
        <w:rPr>
          <w:i/>
          <w:color w:val="666666"/>
          <w:sz w:val="18"/>
        </w:rPr>
        <w:t>Chilman N et al.  ·  Lancet Psychiatry  ·  Sept. 2026  ·  PMID 42586081</w:t>
      </w:r>
    </w:p>
    <w:p>
      <w:r>
        <w:t>Gesamtbevölkerungsstudie in England (n=13.463.945 COVID-19-Fälle, davon 1,19 % mit schwerer psychischer Erkrankung) auf Mortalität über drei Pandemiephasen mit unterschiedlichem Impfzugang.</w:t>
      </w:r>
    </w:p>
    <w:p>
      <w:r>
        <w:rPr>
          <w:b/>
        </w:rPr>
        <w:t xml:space="preserve">Ergebnis: </w:t>
      </w:r>
      <w:r>
        <w:t>Übersterblichkeit bei schwerer psychischer Erkrankung: aHR 1,56 (95%-KI 1,53–1,59). In Phase 1 (vor Impfung): aHR 1,27; Phase 2 (Impfstart): aHR 1,56; Phase 3 (nach Impfung): aHR 1,55. Impfquoten initial höher (73,2 % vs. 67,4 %), am Ende aber niedriger (79,4 % vs. 87,2 %). Impfung minderte Risiko nur partiell (aHR 1,25, 95%-KI 1,17–1,34).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England-Gesamtbevölkerung, nationales Gesundheitssystem wie Deutschland, Ungleichheitsfrage zentral.</w:t>
      </w:r>
    </w:p>
    <w:p>
      <w:r>
        <w:rPr>
          <w:color w:val="5A7D3A"/>
          <w:sz w:val="18"/>
        </w:rPr>
        <w:t>https://pubmed.ncbi.nlm.nih.gov/42586081/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Psychisches Wohlbefinden und COVID-19-Impfquote: 2,68-fach höherer Impfanteil bei hohem CASP-Wohlbefind</w:t>
      </w:r>
    </w:p>
    <w:p>
      <w:r>
        <w:rPr>
          <w:i/>
          <w:color w:val="666666"/>
          <w:sz w:val="18"/>
        </w:rPr>
        <w:t>Gao Y et al.  ·  Hum Vaccin Immunother  ·  18.08.2026  ·  PMID 42610257</w:t>
      </w:r>
    </w:p>
    <w:p>
      <w:r>
        <w:t>Prospektive Analyse von 29.597 europäischen Erwachsenen ≥50 Jahren (SHARE-Studie, 27 Länder + Israel) zur Assoziation zwischen psychischem Wohlbefinden (CASP-12-Skala) und COVID-19-Impfung, Infektion und Long COVID.</w:t>
      </w:r>
    </w:p>
    <w:p>
      <w:r>
        <w:rPr>
          <w:b/>
        </w:rPr>
        <w:t xml:space="preserve">Ergebnis: </w:t>
      </w:r>
      <w:r>
        <w:t>Personen mit höchster CASP-12-Punktzahl vs. niedrigster: OR für COVID-19-Impfung 2,68 (95%-KI 2,44–2,96). Reduktion von Long COVID um 23% (OR 0,77, 95%-KI 0,64–0,93). Kein signifikanter Effekt auf Infektionsrisiko (OR 0,87, 95%-KI 0,74–1,02). Höheres psychisches Wohlbefinden mit verbessertem Impfstatus und reduziertem Long-COVID-Risiko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27 europäische Länder, generalisierbar auf deutschsprachigen Raum</w:t>
      </w:r>
    </w:p>
    <w:p>
      <w:r>
        <w:rPr>
          <w:color w:val="5A7D3A"/>
          <w:sz w:val="18"/>
        </w:rPr>
        <w:t>https://pubmed.ncbi.nlm.nih.gov/42610257/</w:t>
      </w:r>
    </w:p>
    <w:p>
      <w:pPr>
        <w:pStyle w:val="Heading2"/>
      </w:pPr>
      <w:r>
        <w:t>Pädiater-Wissenlücken zur RSV-Immunisierung: 55,9% mit durchschnittlichem bis niedrigem Nirsevimab-Wissen</w:t>
      </w:r>
    </w:p>
    <w:p>
      <w:r>
        <w:rPr>
          <w:i/>
          <w:color w:val="666666"/>
          <w:sz w:val="18"/>
        </w:rPr>
        <w:t>Di Chiara C et al.  ·  PLoS One  ·  17.08.2026  ·  PMID 42607062</w:t>
      </w:r>
    </w:p>
    <w:p>
      <w:r>
        <w:t>Befragung von 578 Pädiatern (Rücklaufquote 19,3%) in Spanien, Italien und Zypern/Griechenland zu Wissen, Einstellungen und Barrieren bezüglich neuer RSV-Impfstrategen.</w:t>
      </w:r>
    </w:p>
    <w:p>
      <w:r>
        <w:rPr>
          <w:b/>
        </w:rPr>
        <w:t xml:space="preserve">Ergebnis: </w:t>
      </w:r>
      <w:r>
        <w:t>50% Spanien, 40% Italien, 10% Zypern/Griechenland. Nur 245 Befragte (55,9%) berichteten durchschnittliches bis niedriges Nirsevimab-Wissen, 375 (86,0%) zeigten gleiches für Mutterimpfstoff (p=0,002). Trotz Wissenslücken: 311 (85,9%) bereit, Nirsevimab zu verabreichen, 319 (92,2%) unterstützten es für alle Neugeborenen. Barrieren (20,0% genannt): Unbekannt und logistische Herausforderungen. 165 (47,4%) bevorzugten die Mutterimpfung gegenüber Nirsevimab.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aber spanische Erfahrung mit Nirsevimab bereits verfügbar</w:t>
      </w:r>
    </w:p>
    <w:p>
      <w:r>
        <w:rPr>
          <w:color w:val="5A7D3A"/>
          <w:sz w:val="18"/>
        </w:rPr>
        <w:t>https://pubmed.ncbi.nlm.nih.gov/42607062/</w:t>
      </w:r>
    </w:p>
    <w:p>
      <w:pPr>
        <w:pStyle w:val="Heading2"/>
      </w:pPr>
      <w:r>
        <w:t>HPV-Impfung und Schwangerschaftsergebnisse: Registerstudie zeigt keine erhöhten Fehlgeburtsrisiken</w:t>
      </w:r>
    </w:p>
    <w:p>
      <w:r>
        <w:rPr>
          <w:i/>
          <w:color w:val="666666"/>
          <w:sz w:val="18"/>
        </w:rPr>
        <w:t>Koivisto T et al.  ·  Eur J Public Health  ·  04.08.2026  ·  PMID 42586610</w:t>
      </w:r>
    </w:p>
    <w:p>
      <w:r>
        <w:t>Register-Follow-up von 20.426 HPV-geimpften und 19.473 ungeimpften Frauen (Finland, Geburtskohorte 1990-1995) über 11 Jahre zu frühen Schwangerschaftskomplikationen.</w:t>
      </w:r>
    </w:p>
    <w:p>
      <w:r>
        <w:rPr>
          <w:b/>
        </w:rPr>
        <w:t xml:space="preserve">Ergebnis: </w:t>
      </w:r>
      <w:r>
        <w:t>Fehlgeburtsquote in der geimpften Gruppe 1,6% versus 5,3% in der ungeimpften Kontrollgruppe (p&lt;0,0001). Keine zeitliche Assoziation zwischen Impfung und Fehlgeburten. Eileiterschwangerschaften waren selten und vergleichbar (0,6–1,0%). Bei Frauen mit Vorgeschichte von Komplikationen hatten 55,6% der Geimpften mindestens eine Lebendgeburt versus 70,3% der Ungeimpften. Die Impfung war nicht mit erhöhtem Fehlgeburts- oder anderem Schwangerschaftsrisiko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Register mit hoher Datenqualität</w:t>
      </w:r>
    </w:p>
    <w:p>
      <w:r>
        <w:rPr>
          <w:color w:val="5A7D3A"/>
          <w:sz w:val="18"/>
        </w:rPr>
        <w:t>https://pubmed.ncbi.nlm.nih.gov/42586610/</w:t>
      </w:r>
    </w:p>
    <w:p>
      <w:pPr>
        <w:pStyle w:val="Heading2"/>
      </w:pPr>
      <w:r>
        <w:t>Influenza-Impfeffektivität gegen Krankenhausaufnahmen: 46% Gesamtschutz in Nordirland 2024/25</w:t>
      </w:r>
    </w:p>
    <w:p>
      <w:r>
        <w:rPr>
          <w:i/>
          <w:color w:val="666666"/>
          <w:sz w:val="18"/>
        </w:rPr>
        <w:t>Bucholc M et al.  ·  Influenza Other Respir Viruses  ·  Aug. 2026  ·  PMID 42560010</w:t>
      </w:r>
    </w:p>
    <w:p>
      <w:r>
        <w:t>Test-Negativ-Design mit 2.024 influenzapositiven Fällen und 13.109 Kontrollen in 15.133 hospitalisierten Patienten zur Schätzung der Impfeffektivität gegen laborbestätigte Influenza.</w:t>
      </w:r>
    </w:p>
    <w:p>
      <w:r>
        <w:rPr>
          <w:b/>
        </w:rPr>
        <w:t xml:space="preserve">Ergebnis: </w:t>
      </w:r>
      <w:r>
        <w:t>Impfeffektivität gegen Influenza insgesamt 46,0% (95%-KI 39,7–51,8%), höher bei Kindern 2-17 Jahren (60,8%, 48,3–70,5%) als Erwachsenen 18-64 Jahren (40,5%, 24,9–53,2%) oder ≥65 Jahren (42,3%, 33,2–50,1%). Gegen Influenza-B: 76,4% (64,9–84,7%). Effektivität gegen A(H1) 44,3%, gegen A(H3) 49,9%. Die Wirksamkeit war höchsten 2-8 Wochen post-Impfung (51,9%) und nahm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vergleichbar mit deutschem Gesundheitssystem</w:t>
      </w:r>
    </w:p>
    <w:p>
      <w:r>
        <w:rPr>
          <w:color w:val="5A7D3A"/>
          <w:sz w:val="18"/>
        </w:rPr>
        <w:t>https://pubmed.ncbi.nlm.nih.gov/42560010/</w:t>
      </w:r>
    </w:p>
    <w:p>
      <w:pPr>
        <w:pStyle w:val="Heading2"/>
      </w:pPr>
      <w:r>
        <w:t>Impfluecken bei Kindern in Deutschland: Sozioökonomische Unterschiede und Rolle des Versorgungstyps</w:t>
      </w:r>
    </w:p>
    <w:p>
      <w:r>
        <w:rPr>
          <w:i/>
          <w:color w:val="666666"/>
          <w:sz w:val="18"/>
        </w:rPr>
        <w:t>Nussbaum C et al.  ·  BMC Med  ·  04.08.2026  ·  PMID 42557557</w:t>
      </w:r>
    </w:p>
    <w:p>
      <w:r>
        <w:t>Analyse von 430.000 Kindern aus Versicherungsdaten 2016-2019 zur Erfassung von Impfquoten und sozioökonomischen Gradienten bei von STIKO empfohlenen Impfungen.</w:t>
      </w:r>
    </w:p>
    <w:p>
      <w:r>
        <w:rPr>
          <w:b/>
        </w:rPr>
        <w:t xml:space="preserve">Ergebnis: </w:t>
      </w:r>
      <w:r>
        <w:t>Etwa 80% der empfohlenen Impfserien waren vollständig und rechtzeitig durchgeführt. Ein kleiner, aber signifikanter sozioökonomischer Gradient zugunsten höherer Einkommen zeigte sich (Konzentrationsindex 0,024). Der Anbietertyp erklärt den größten Teil des Gradienten: Hausarztpraxen hatten niedrigere Abschlussquoten als Kinderarztpraxen. Reisezeit trug weniger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Krankenkassendaten, vergleichbare Dokumentationspflichten</w:t>
      </w:r>
    </w:p>
    <w:p>
      <w:r>
        <w:rPr>
          <w:color w:val="5A7D3A"/>
          <w:sz w:val="18"/>
        </w:rPr>
        <w:t>https://pubmed.ncbi.nlm.nih.gov/42557557/</w:t>
      </w:r>
    </w:p>
    <w:p>
      <w:pPr>
        <w:pStyle w:val="Heading2"/>
      </w:pPr>
      <w:r>
        <w:t>Keuchhusten-Impfeffektivität im Säuglingsalter in den Niederlanden: 98,2% Schutz bei vollständiger Impfung</w:t>
      </w:r>
    </w:p>
    <w:p>
      <w:r>
        <w:rPr>
          <w:i/>
          <w:color w:val="666666"/>
          <w:sz w:val="18"/>
        </w:rPr>
        <w:t>van Meijeren DL et al.  ·  Vaccine  ·  13.08.2026  ·  PMID 42526173</w:t>
      </w:r>
    </w:p>
    <w:p>
      <w:r>
        <w:t>Fall-Kontroll-Studie mit 1.156 Fällen und 4.624 Kontrollen (laborbestätigt, 12-35 Monate, 2013-2024) zur Wirksamkeit der Grundimmunisierung gegen Pertussis.</w:t>
      </w:r>
    </w:p>
    <w:p>
      <w:r>
        <w:rPr>
          <w:b/>
        </w:rPr>
        <w:t xml:space="preserve">Ergebnis: </w:t>
      </w:r>
      <w:r>
        <w:t>Gesamteffektivität 98,2% (95%-KI 97,6–98,6) bei vollständiger Impfung. Wirksamkeit nahm mit der Zeit seit Impfung ab (p&lt;0,001): 51,9% zwei bis acht Wochen nach Impfung, 44,6% nach 9-16 Wochen, 41,4% nach ≥16 Wochen. Höhere Effektivität bei Kindern 2-17 Jahre (60,8%) als bei Erwachsenen 18-64 Jahre (40,5%) oder ≥65 Jahre (42,3%).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Vakzine</w:t>
      </w:r>
    </w:p>
    <w:p>
      <w:r>
        <w:rPr>
          <w:color w:val="5A7D3A"/>
          <w:sz w:val="18"/>
        </w:rPr>
        <w:t>https://pubmed.ncbi.nlm.nih.gov/42526173/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2026-08-27T06:00:00Z</dcterms:created>
  <dcterms:modified xsi:type="dcterms:W3CDTF">2026-08-27T06:00:00Z</dcterms:modified>
  <cp:category/>
</cp:coreProperties>
</file>