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17.10.2026  |  5 Studien  |  impfen.m-vf.de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HPV-Impfung: Wissenlücken bei Eltern und fehlende Empfehlungsrate bei Ärzten</w:t>
      </w:r>
    </w:p>
    <w:p>
      <w:r>
        <w:rPr>
          <w:i/>
          <w:color w:val="666666"/>
          <w:sz w:val="18"/>
        </w:rPr>
        <w:t>Schmid-Küpke NK et al.  ·  Euro Surveill  ·  Okt. 2026  ·  PMID 42885489</w:t>
      </w:r>
    </w:p>
    <w:p>
      <w:r>
        <w:t>Telefonische Befragung von 1.508 Eltern und 503 Kinderärzten in Deutschland (Herbst 2023) zur HPV-Impfbereitschaft, Wissenslücken und Beratungspraxis.</w:t>
      </w:r>
    </w:p>
    <w:p>
      <w:r>
        <w:rPr>
          <w:b/>
        </w:rPr>
        <w:t xml:space="preserve">Ergebnis: </w:t>
      </w:r>
      <w:r>
        <w:t>Nur 34,5 % der Kinder waren bereits HPV-geimpft; 35,2 % der Eltern waren Vaccine Hesitant, 5,6 % lehnten ab. Obwohl 97 % der Ärzte angaben, die Impfung zu empfehlen, erinnerten sich nur 43,7 % der Eltern an eine Empfehlung. Eltern unterschätzten die Krebsprävention durch alternative Maßnahmen und unterschätzten das HPV-Infektionsrisiko. Ärztliche Empfehlungen waren der stärkste Einflussfaktor auf Impfentscheidungen.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repräsentative Stichprobe, vergleichbare Impfkalender-Strukturen</w:t>
      </w:r>
    </w:p>
    <w:p>
      <w:r>
        <w:rPr>
          <w:color w:val="5A7D3A"/>
          <w:sz w:val="18"/>
        </w:rPr>
        <w:t>https://pubmed.ncbi.nlm.nih.gov/42885489/</w:t>
      </w:r>
    </w:p>
    <w:p>
      <w:pPr>
        <w:pStyle w:val="Heading2"/>
      </w:pPr>
      <w:r>
        <w:t>COVID-19 bei Erwachsenen mit intellektueller Behinderung: höhere Sterblichkeit trotz gleicher Impfquoten</w:t>
      </w:r>
    </w:p>
    <w:p>
      <w:r>
        <w:rPr>
          <w:i/>
          <w:color w:val="666666"/>
          <w:sz w:val="18"/>
        </w:rPr>
        <w:t>Sandberg M et al.  ·  BMC Public Health  ·  15.10.2026  ·  PMID 42881375</w:t>
      </w:r>
    </w:p>
    <w:p>
      <w:r>
        <w:t>Register-basierte Kohortenstudie in Schweden (2020–2021): Vergleich von COVID-19-Diagnosen, Hospitalisierungen und Todesfällen zwischen 14.046 Personen mit intellektueller Behinderung (ID) und 1.157.138 Allgemeinbevölkerung.</w:t>
      </w:r>
    </w:p>
    <w:p>
      <w:r>
        <w:rPr>
          <w:b/>
        </w:rPr>
        <w:t xml:space="preserve">Ergebnis: </w:t>
      </w:r>
      <w:r>
        <w:t>Menschen mit ID hatten höheres Risiko für COVID-19-Diagnose, aber niedrigere Laborbestätigung. Hospitalisierungsrisiko bei Erwachsenen und älteren Menschen mit ID höher in beiden Jahren 2020–2021. Impfquoten vergleichbar, aber Mortalität bei COVID-19 höher in der ID-Gruppe. Schwedische COVID-19-Strategie zu Impfung und Priorisierung funktionierte für diese Gruppe wie beabsichtigt.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Impfregister-Daten, Versorgungsstruktur nicht direkt auf Deutschland übertragbar</w:t>
      </w:r>
    </w:p>
    <w:p>
      <w:r>
        <w:rPr>
          <w:color w:val="5A7D3A"/>
          <w:sz w:val="18"/>
        </w:rPr>
        <w:t>https://pubmed.ncbi.nlm.nih.gov/42881375/</w:t>
      </w:r>
    </w:p>
    <w:p>
      <w:pPr>
        <w:pStyle w:val="Heading2"/>
      </w:pPr>
      <w:r>
        <w:t>Rotavirus-Impfstoff ROTASIIL senkt Hospitalisierungsrisiko bei Kindern</w:t>
      </w:r>
    </w:p>
    <w:p>
      <w:r>
        <w:rPr>
          <w:i/>
          <w:color w:val="666666"/>
          <w:sz w:val="18"/>
        </w:rPr>
        <w:t>Chaudhary VS et al.  ·  Nat Commun  ·  15.09.2026  ·  PMID 42881148</w:t>
      </w:r>
    </w:p>
    <w:p>
      <w:r>
        <w:t>Register-gestützte Fall-Kontroll-Studie in 32 indischen Krankenhäusern (2019–2023): Effektivitätsmessung der drei Dosen ROTASIIL gegen Rotavirus-Gastroenteritis bei Kindern unter 23 Monaten mittels Test-Negative-Design.</w:t>
      </w:r>
    </w:p>
    <w:p>
      <w:r>
        <w:rPr>
          <w:b/>
        </w:rPr>
        <w:t xml:space="preserve">Ergebnis: </w:t>
      </w:r>
      <w:r>
        <w:t>Bei vollständiger Serie (3 Dosen): bereinigte Impfeffektivität 52 % (95%-KI 32–66) gegen Hospitalisierung; bei jüngeren Kindern (3–5 Monate) 88 % (53–97). Gegen moderate Rotavirus-Gastroenteritis 56 % (11–79), gegen schwere Form 54 % (31–70). Mit mindestens einer Dosis: 45 % (26–60) bei 1–23 Monaten. Höchste genotyp-spezifische Effektivität gegen G1P[8] mit 62 % (29–80).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Routineversorgung, vergleichbar mit Ländern mit ähnlicher Impfabdeckung</w:t>
      </w:r>
    </w:p>
    <w:p>
      <w:r>
        <w:rPr>
          <w:color w:val="5A7D3A"/>
          <w:sz w:val="18"/>
        </w:rPr>
        <w:t>https://pubmed.ncbi.nlm.nih.gov/42881148/</w:t>
      </w:r>
    </w:p>
    <w:p>
      <w:pPr>
        <w:pStyle w:val="Heading2"/>
      </w:pPr>
      <w:r>
        <w:t>Tollwutimpfung in Ägypten: geringe Impfquoten trotz positiver Einstellung der Bevölkerung</w:t>
      </w:r>
    </w:p>
    <w:p>
      <w:r>
        <w:rPr>
          <w:i/>
          <w:color w:val="666666"/>
          <w:sz w:val="18"/>
        </w:rPr>
        <w:t>Helal MB et al.  ·  BMC Public Health  ·  15.10.2026  ·  PMID 42875760</w:t>
      </w:r>
    </w:p>
    <w:p>
      <w:r>
        <w:t>Landesweite Querschnittsbefragung von 1.777 Personen (2024) in ägyptischen Universitätskliniken zu Wissen, Einstellung und Praxis bezüglich Tollwut und Tollwutprophylaxe (prä- und postexpositionell).</w:t>
      </w:r>
    </w:p>
    <w:p>
      <w:r>
        <w:rPr>
          <w:b/>
        </w:rPr>
        <w:t xml:space="preserve">Ergebnis: </w:t>
      </w:r>
      <w:r>
        <w:t>Nur 42,8 % der Befragten hatten gutes Wissen über Tollwut und Prophylaxe; 88,5 % Positive Einstellung. Unter 173 Personen mit Tierbisskontakt erhielten 18,5 % (n=32) keine postexpositionelle Prophylaxe und 17 % (n=24) vollendeten den Impfplan nicht. Präexpositionelle Impfung nur 4,3 % bei hochriskanten Personen. Hauptbarrieren: Wissensmangel über Impfstoff (82,4 %), fehlende Kenntnisse über Tollwut (81,7 %), mangelnde Infrastruktur (43,1 %).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Ägypten, Entwicklungsland-Kontext, begrenzt übertragbar auf Deutschland</w:t>
      </w:r>
    </w:p>
    <w:p>
      <w:r>
        <w:rPr>
          <w:color w:val="5A7D3A"/>
          <w:sz w:val="18"/>
        </w:rPr>
        <w:t>https://pubmed.ncbi.nlm.nih.gov/42875760/</w:t>
      </w:r>
    </w:p>
    <w:p>
      <w:pPr>
        <w:pStyle w:val="Heading2"/>
      </w:pPr>
      <w:r>
        <w:t>COVID-19-Impfstoff-Sicherheit: Einzelfallbericht zeigt Grenzen der Kausalitätsbewertung</w:t>
      </w:r>
    </w:p>
    <w:p>
      <w:r>
        <w:rPr>
          <w:i/>
          <w:color w:val="666666"/>
          <w:sz w:val="18"/>
        </w:rPr>
        <w:t>Siebner AS et al.  ·  Philos Ethics Humanit Med  ·  01.10.2026  ·  PMID 42823741</w:t>
      </w:r>
    </w:p>
    <w:p>
      <w:r>
        <w:t>Diskussionsbeitrag (Deutschland, UK, Italien, Kanada, USA, Ägypten) zur epistemischen Vorsicht bei der Bewertung seltener schwerer unerwünschter Ereignisse nach COVID-19-mRNA-Impfung; Fallbeispiel: autoptisch bestätigte Enzephalitis und Myokarditis nach BNT162b2.</w:t>
      </w:r>
    </w:p>
    <w:p>
      <w:r>
        <w:rPr>
          <w:b/>
        </w:rPr>
        <w:t xml:space="preserve">Ergebnis: </w:t>
      </w:r>
      <w:r>
        <w:t>Anwendung von Bradford Hills Kriterien auf einen Autopsiebericht zeigte partielle, nicht schlüssige Evidenz: ein Kriterium unterstützte Kausalität, sieben waren teilweise gestützt, eines nicht. Die Analyse deutet, ohne zu beweisen, auf einen möglichen Kausalzusammenhang hin. Autoren betonen: Abwesenheit von Nukleokapsid-Protein liefert keine definitive Evidenz gegen Impfursprung; weitere Analysen sind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Überblick über Sicherheitsbewertungsmethoden, keine neuen Versorgungsdaten</w:t>
      </w:r>
    </w:p>
    <w:p>
      <w:r>
        <w:rPr>
          <w:color w:val="5A7D3A"/>
          <w:sz w:val="18"/>
        </w:rPr>
        <w:t>https://pubmed.ncbi.nlm.nih.gov/42823741/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