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Impfen und Praevention</w:t>
      </w:r>
    </w:p>
    <w:p>
      <w:r>
        <w:rPr>
          <w:i/>
          <w:color w:val="666666"/>
          <w:sz w:val="18"/>
        </w:rPr>
        <w:t>Stand: 17.10.2026  |  329 Studien  |  impfen.m-vf.de</w:t>
      </w:r>
    </w:p>
    <w:p>
      <w:pPr>
        <w:pStyle w:val="Heading1"/>
      </w:pPr>
      <w:r>
        <w:t>Aufgenommen am 17.10.2026</w:t>
      </w:r>
    </w:p>
    <w:p>
      <w:pPr>
        <w:pStyle w:val="Heading2"/>
      </w:pPr>
      <w:r>
        <w:t>HPV-Impfung: Wissenlücken bei Eltern und fehlende Empfehlungsrate bei Ärzten</w:t>
      </w:r>
    </w:p>
    <w:p>
      <w:r>
        <w:rPr>
          <w:i/>
          <w:color w:val="666666"/>
          <w:sz w:val="18"/>
        </w:rPr>
        <w:t>Schmid-Küpke NK et al.  ·  Euro Surveill  ·  Okt. 2026  ·  PMID 42885489</w:t>
      </w:r>
    </w:p>
    <w:p>
      <w:r>
        <w:t>Telefonische Befragung von 1.508 Eltern und 503 Kinderärzten in Deutschland (Herbst 2023) zur HPV-Impfbereitschaft, Wissenslücken und Beratungspraxis.</w:t>
      </w:r>
    </w:p>
    <w:p>
      <w:r>
        <w:rPr>
          <w:b/>
        </w:rPr>
        <w:t xml:space="preserve">Ergebnis: </w:t>
      </w:r>
      <w:r>
        <w:t>Nur 34,5 % der Kinder waren bereits HPV-geimpft; 35,2 % der Eltern waren Vaccine Hesitant, 5,6 % lehnten ab. Obwohl 97 % der Ärzte angaben, die Impfung zu empfehlen, erinnerten sich nur 43,7 % der Eltern an eine Empfehlung. Eltern unterschätzten die Krebsprävention durch alternative Maßnahmen und unterschätzten das HPV-Infektionsrisiko. Ärztliche Empfehlungen waren der stärkste Einflussfaktor auf Impfentscheidungen.</w:t>
      </w:r>
    </w:p>
    <w:p>
      <w:r>
        <w:rPr>
          <w:b/>
          <w:sz w:val="19"/>
        </w:rPr>
        <w:t xml:space="preserve">Übertragbarkeit: </w:t>
      </w:r>
      <w:r>
        <w:rPr>
          <w:sz w:val="19"/>
        </w:rPr>
        <w:t>Deutschland, repräsentative Stichprobe, vergleichbare Impfkalender-Strukturen</w:t>
      </w:r>
    </w:p>
    <w:p>
      <w:r>
        <w:rPr>
          <w:color w:val="5A7D3A"/>
          <w:sz w:val="18"/>
        </w:rPr>
        <w:t>https://pubmed.ncbi.nlm.nih.gov/42885489/</w:t>
      </w:r>
    </w:p>
    <w:p>
      <w:pPr>
        <w:pStyle w:val="Heading2"/>
      </w:pPr>
      <w:r>
        <w:t>COVID-19 bei Erwachsenen mit intellektueller Behinderung: höhere Sterblichkeit trotz gleicher Impfquoten</w:t>
      </w:r>
    </w:p>
    <w:p>
      <w:r>
        <w:rPr>
          <w:i/>
          <w:color w:val="666666"/>
          <w:sz w:val="18"/>
        </w:rPr>
        <w:t>Sandberg M et al.  ·  BMC Public Health  ·  15.10.2026  ·  PMID 42881375</w:t>
      </w:r>
    </w:p>
    <w:p>
      <w:r>
        <w:t>Register-basierte Kohortenstudie in Schweden (2020–2021): Vergleich von COVID-19-Diagnosen, Hospitalisierungen und Todesfällen zwischen 14.046 Personen mit intellektueller Behinderung (ID) und 1.157.138 Allgemeinbevölkerung.</w:t>
      </w:r>
    </w:p>
    <w:p>
      <w:r>
        <w:rPr>
          <w:b/>
        </w:rPr>
        <w:t xml:space="preserve">Ergebnis: </w:t>
      </w:r>
      <w:r>
        <w:t>Menschen mit ID hatten höheres Risiko für COVID-19-Diagnose, aber niedrigere Laborbestätigung. Hospitalisierungsrisiko bei Erwachsenen und älteren Menschen mit ID höher in beiden Jahren 2020–2021. Impfquoten vergleichbar, aber Mortalität bei COVID-19 höher in der ID-Gruppe. Schwedische COVID-19-Strategie zu Impfung und Priorisierung funktionierte für diese Gruppe wie beabsichtigt.</w:t>
      </w:r>
    </w:p>
    <w:p>
      <w:r>
        <w:rPr>
          <w:b/>
          <w:sz w:val="19"/>
        </w:rPr>
        <w:t xml:space="preserve">Übertragbarkeit: </w:t>
      </w:r>
      <w:r>
        <w:rPr>
          <w:sz w:val="19"/>
        </w:rPr>
        <w:t>Skandinavien, Impfregister-Daten, Versorgungsstruktur nicht direkt auf Deutschland übertragbar</w:t>
      </w:r>
    </w:p>
    <w:p>
      <w:r>
        <w:rPr>
          <w:color w:val="5A7D3A"/>
          <w:sz w:val="18"/>
        </w:rPr>
        <w:t>https://pubmed.ncbi.nlm.nih.gov/42881375/</w:t>
      </w:r>
    </w:p>
    <w:p>
      <w:pPr>
        <w:pStyle w:val="Heading2"/>
      </w:pPr>
      <w:r>
        <w:t>Rotavirus-Impfstoff ROTASIIL senkt Hospitalisierungsrisiko bei Kindern</w:t>
      </w:r>
    </w:p>
    <w:p>
      <w:r>
        <w:rPr>
          <w:i/>
          <w:color w:val="666666"/>
          <w:sz w:val="18"/>
        </w:rPr>
        <w:t>Chaudhary VS et al.  ·  Nat Commun  ·  15.09.2026  ·  PMID 42881148</w:t>
      </w:r>
    </w:p>
    <w:p>
      <w:r>
        <w:t>Register-gestützte Fall-Kontroll-Studie in 32 indischen Krankenhäusern (2019–2023): Effektivitätsmessung der drei Dosen ROTASIIL gegen Rotavirus-Gastroenteritis bei Kindern unter 23 Monaten mittels Test-Negative-Design.</w:t>
      </w:r>
    </w:p>
    <w:p>
      <w:r>
        <w:rPr>
          <w:b/>
        </w:rPr>
        <w:t xml:space="preserve">Ergebnis: </w:t>
      </w:r>
      <w:r>
        <w:t>Bei vollständiger Serie (3 Dosen): bereinigte Impfeffektivität 52 % (95%-KI 32–66) gegen Hospitalisierung; bei jüngeren Kindern (3–5 Monate) 88 % (53–97). Gegen moderate Rotavirus-Gastroenteritis 56 % (11–79), gegen schwere Form 54 % (31–70). Mit mindestens einer Dosis: 45 % (26–60) bei 1–23 Monaten. Höchste genotyp-spezifische Effektivität gegen G1P[8] mit 62 % (29–80).</w:t>
      </w:r>
    </w:p>
    <w:p>
      <w:r>
        <w:rPr>
          <w:b/>
          <w:sz w:val="19"/>
        </w:rPr>
        <w:t xml:space="preserve">Übertragbarkeit: </w:t>
      </w:r>
      <w:r>
        <w:rPr>
          <w:sz w:val="19"/>
        </w:rPr>
        <w:t>Indien, Routineversorgung, vergleichbar mit Ländern mit ähnlicher Impfabdeckung</w:t>
      </w:r>
    </w:p>
    <w:p>
      <w:r>
        <w:rPr>
          <w:color w:val="5A7D3A"/>
          <w:sz w:val="18"/>
        </w:rPr>
        <w:t>https://pubmed.ncbi.nlm.nih.gov/42881148/</w:t>
      </w:r>
    </w:p>
    <w:p>
      <w:pPr>
        <w:pStyle w:val="Heading2"/>
      </w:pPr>
      <w:r>
        <w:t>Tollwutimpfung in Ägypten: geringe Impfquoten trotz positiver Einstellung der Bevölkerung</w:t>
      </w:r>
    </w:p>
    <w:p>
      <w:r>
        <w:rPr>
          <w:i/>
          <w:color w:val="666666"/>
          <w:sz w:val="18"/>
        </w:rPr>
        <w:t>Helal MB et al.  ·  BMC Public Health  ·  15.10.2026  ·  PMID 42875760</w:t>
      </w:r>
    </w:p>
    <w:p>
      <w:r>
        <w:t>Landesweite Querschnittsbefragung von 1.777 Personen (2024) in ägyptischen Universitätskliniken zu Wissen, Einstellung und Praxis bezüglich Tollwut und Tollwutprophylaxe (prä- und postexpositionell).</w:t>
      </w:r>
    </w:p>
    <w:p>
      <w:r>
        <w:rPr>
          <w:b/>
        </w:rPr>
        <w:t xml:space="preserve">Ergebnis: </w:t>
      </w:r>
      <w:r>
        <w:t>Nur 42,8 % der Befragten hatten gutes Wissen über Tollwut und Prophylaxe; 88,5 % Positive Einstellung. Unter 173 Personen mit Tierbisskontakt erhielten 18,5 % (n=32) keine postexpositionelle Prophylaxe und 17 % (n=24) vollendeten den Impfplan nicht. Präexpositionelle Impfung nur 4,3 % bei hochriskanten Personen. Hauptbarrieren: Wissensmangel über Impfstoff (82,4 %), fehlende Kenntnisse über Tollwut (81,7 %), mangelnde Infrastruktur (43,1 %).</w:t>
      </w:r>
    </w:p>
    <w:p>
      <w:r>
        <w:rPr>
          <w:b/>
          <w:sz w:val="19"/>
        </w:rPr>
        <w:t xml:space="preserve">Übertragbarkeit: </w:t>
      </w:r>
      <w:r>
        <w:rPr>
          <w:sz w:val="19"/>
        </w:rPr>
        <w:t>Ägypten, Entwicklungsland-Kontext, begrenzt übertragbar auf Deutschland</w:t>
      </w:r>
    </w:p>
    <w:p>
      <w:r>
        <w:rPr>
          <w:color w:val="5A7D3A"/>
          <w:sz w:val="18"/>
        </w:rPr>
        <w:t>https://pubmed.ncbi.nlm.nih.gov/42875760/</w:t>
      </w:r>
    </w:p>
    <w:p>
      <w:pPr>
        <w:pStyle w:val="Heading2"/>
      </w:pPr>
      <w:r>
        <w:t>COVID-19-Impfstoff-Sicherheit: Einzelfallbericht zeigt Grenzen der Kausalitätsbewertung</w:t>
      </w:r>
    </w:p>
    <w:p>
      <w:r>
        <w:rPr>
          <w:i/>
          <w:color w:val="666666"/>
          <w:sz w:val="18"/>
        </w:rPr>
        <w:t>Siebner AS et al.  ·  Philos Ethics Humanit Med  ·  01.10.2026  ·  PMID 42823741</w:t>
      </w:r>
    </w:p>
    <w:p>
      <w:r>
        <w:t>Diskussionsbeitrag (Deutschland, UK, Italien, Kanada, USA, Ägypten) zur epistemischen Vorsicht bei der Bewertung seltener schwerer unerwünschter Ereignisse nach COVID-19-mRNA-Impfung; Fallbeispiel: autoptisch bestätigte Enzephalitis und Myokarditis nach BNT162b2.</w:t>
      </w:r>
    </w:p>
    <w:p>
      <w:r>
        <w:rPr>
          <w:b/>
        </w:rPr>
        <w:t xml:space="preserve">Ergebnis: </w:t>
      </w:r>
      <w:r>
        <w:t>Anwendung von Bradford Hills Kriterien auf einen Autopsiebericht zeigte partielle, nicht schlüssige Evidenz: ein Kriterium unterstützte Kausalität, sieben waren teilweise gestützt, eines nicht. Die Analyse deutet, ohne zu beweisen, auf einen möglichen Kausalzusammenhang hin. Autoren betonen: Abwesenheit von Nukleokapsid-Protein liefert keine definitive Evidenz gegen Impfursprung; weitere Analysen sind erforderlich.</w:t>
      </w:r>
    </w:p>
    <w:p>
      <w:r>
        <w:rPr>
          <w:b/>
          <w:sz w:val="19"/>
        </w:rPr>
        <w:t xml:space="preserve">Übertragbarkeit: </w:t>
      </w:r>
      <w:r>
        <w:rPr>
          <w:sz w:val="19"/>
        </w:rPr>
        <w:t>Überblick über Sicherheitsbewertungsmethoden, keine neuen Versorgungsdaten</w:t>
      </w:r>
    </w:p>
    <w:p>
      <w:r>
        <w:rPr>
          <w:color w:val="5A7D3A"/>
          <w:sz w:val="18"/>
        </w:rPr>
        <w:t>https://pubmed.ncbi.nlm.nih.gov/42823741/</w:t>
      </w:r>
    </w:p>
    <w:p>
      <w:pPr>
        <w:pStyle w:val="Heading1"/>
      </w:pPr>
      <w:r>
        <w:t>Aufgenommen am 16.10.2026</w:t>
      </w:r>
    </w:p>
    <w:p>
      <w:pPr>
        <w:pStyle w:val="Heading2"/>
      </w:pPr>
      <w:r>
        <w:t>Zweisprachige digitale Kampagne zur COVID-19-Impfung bei vietnamesisch-amerikanischen Gemeinden</w:t>
      </w:r>
    </w:p>
    <w:p>
      <w:r>
        <w:rPr>
          <w:i/>
          <w:color w:val="666666"/>
          <w:sz w:val="18"/>
        </w:rPr>
        <w:t>Tehami S et al.  ·  J Med Internet Res  ·  15.10.2026  ·  PMID 42879767</w:t>
      </w:r>
    </w:p>
    <w:p>
      <w:r>
        <w:t>Bewertung einer bilingualen (Englisch/Vietnamesisch) digitalen Kampagne über Google Display &amp; Video 360 zur Förderung von COVID-19-Impfung und Studienteilnahme in Texas.</w:t>
      </w:r>
    </w:p>
    <w:p>
      <w:r>
        <w:rPr>
          <w:b/>
        </w:rPr>
        <w:t xml:space="preserve">Ergebnis: </w:t>
      </w:r>
      <w:r>
        <w:t>4,97 Millionen Impressionen, ca. 1,4 Millionen eindeutige Nutzer. Vietnamesische Anzeigen: 0,105 Prozent Click-through-Rate vs. Englisch 0,046 Prozent (RR 2,29, p&lt;0,001). Mobile Platzierungen übertroffen Desktop. Kosten pro Klick 2,35 USD, CPM 1,45 USD. Direkte Impfquoten-Effekte nicht gemessen.</w:t>
      </w:r>
    </w:p>
    <w:p>
      <w:r>
        <w:rPr>
          <w:b/>
          <w:sz w:val="19"/>
        </w:rPr>
        <w:t xml:space="preserve">Übertragbarkeit: </w:t>
      </w:r>
      <w:r>
        <w:rPr>
          <w:sz w:val="19"/>
        </w:rPr>
        <w:t>USA, Sprachenminderheiten; Engagement-Metriken, keine Versorgungswirksamkeit gemessen</w:t>
      </w:r>
    </w:p>
    <w:p>
      <w:r>
        <w:rPr>
          <w:color w:val="5A7D3A"/>
          <w:sz w:val="18"/>
        </w:rPr>
        <w:t>https://pubmed.ncbi.nlm.nih.gov/42879767/</w:t>
      </w:r>
    </w:p>
    <w:p>
      <w:pPr>
        <w:pStyle w:val="Heading2"/>
      </w:pPr>
      <w:r>
        <w:t>Keuchhusten-Impfeffektivität bei Kindern während Ausbruch in Alaska 96 Prozent</w:t>
      </w:r>
    </w:p>
    <w:p>
      <w:r>
        <w:rPr>
          <w:i/>
          <w:color w:val="666666"/>
          <w:sz w:val="18"/>
        </w:rPr>
        <w:t>Newell K et al.  ·  MMWR Morb Mortal Wkly Rep  ·  15.10.2026  ·  PMID 42879706</w:t>
      </w:r>
    </w:p>
    <w:p>
      <w:r>
        <w:t>Untersuchung der Wirksamkeit der DTaP-Impfung gegen Keuchhusten bei Kindern während eines Ausbruchs 2024 in Alaska.</w:t>
      </w:r>
    </w:p>
    <w:p>
      <w:r>
        <w:rPr>
          <w:b/>
        </w:rPr>
        <w:t xml:space="preserve">Ergebnis: </w:t>
      </w:r>
      <w:r>
        <w:t>Vollständige 3-Dosis-Serie: 96,2 Prozent Schutz. Teilgeimpfte (1–2 Dosen): 85,3 Prozent. Ungeimpfte hatten 26-fach erhöhtes Erkrankungsrisiko (adjustiertes OR 26,1). Befunde unterstreichen die Notwendigkeit vollständiger Impfserien zum Schutz vor Keuchhusten.</w:t>
      </w:r>
    </w:p>
    <w:p>
      <w:r>
        <w:rPr>
          <w:b/>
          <w:sz w:val="19"/>
        </w:rPr>
        <w:t xml:space="preserve">Übertragbarkeit: </w:t>
      </w:r>
      <w:r>
        <w:rPr>
          <w:sz w:val="19"/>
        </w:rPr>
        <w:t>USA-Daten, Impfeffektivität unter Alltagsbedingungen übertragbar auf vergleichbare Gesundheitssysteme</w:t>
      </w:r>
    </w:p>
    <w:p>
      <w:r>
        <w:rPr>
          <w:color w:val="5A7D3A"/>
          <w:sz w:val="18"/>
        </w:rPr>
        <w:t>https://pubmed.ncbi.nlm.nih.gov/42879706/</w:t>
      </w:r>
    </w:p>
    <w:p>
      <w:pPr>
        <w:pStyle w:val="Heading2"/>
      </w:pPr>
      <w:r>
        <w:t>Apothekenimpfung in Spanien: Europäischer Evidenzbefund für höhere Impfquoten</w:t>
      </w:r>
    </w:p>
    <w:p>
      <w:r>
        <w:rPr>
          <w:i/>
          <w:color w:val="666666"/>
          <w:sz w:val="18"/>
        </w:rPr>
        <w:t>Fernández Otero MD et al.  ·  Rev Esp Salud Publica  ·  13.10.2026  ·  PMID 42879310</w:t>
      </w:r>
    </w:p>
    <w:p>
      <w:r>
        <w:t>Analyse der Gründe, warum Spanien trotz europäischer Evidenz keine Apotheken-Impfungen zulässt; Prüfung von Qualifikations-, Systembeitrags- und Abdeckungs-Argumenten.</w:t>
      </w:r>
    </w:p>
    <w:p>
      <w:r>
        <w:rPr>
          <w:b/>
        </w:rPr>
        <w:t xml:space="preserve">Ergebnis: </w:t>
      </w:r>
      <w:r>
        <w:t>Keine objektiv-wissenschaftlichen Gründe gefunden, die Apotheken-Impfungen abrahmen würden. Farmazeutische Ausbildung in Spanien vergleichbar mit anderen EU-Ländern. Apotheken-Netzwerk könnte Wert für NVS-Leistungen erbringen. Impfquoten nicht bereits befriedigend. Empfehlung: Spanien sollte Apotheker-Kollaboration in Impfprogrammen erwägen.</w:t>
      </w:r>
    </w:p>
    <w:p>
      <w:r>
        <w:rPr>
          <w:b/>
          <w:sz w:val="19"/>
        </w:rPr>
        <w:t xml:space="preserve">Übertragbarkeit: </w:t>
      </w:r>
      <w:r>
        <w:rPr>
          <w:sz w:val="19"/>
        </w:rPr>
        <w:t>Spanien/Europa, vergleichbares System; Zugangsbarriere Regelwerk, nicht Kompetenz</w:t>
      </w:r>
    </w:p>
    <w:p>
      <w:r>
        <w:rPr>
          <w:color w:val="5A7D3A"/>
          <w:sz w:val="18"/>
        </w:rPr>
        <w:t>https://pubmed.ncbi.nlm.nih.gov/42879310/</w:t>
      </w:r>
    </w:p>
    <w:p>
      <w:pPr>
        <w:pStyle w:val="Heading2"/>
      </w:pPr>
      <w:r>
        <w:t>H1N1-Impfung und Narkolepsie: Biomarker-Signale in schwedisch-finnischer Kohorte</w:t>
      </w:r>
    </w:p>
    <w:p>
      <w:r>
        <w:rPr>
          <w:i/>
          <w:color w:val="666666"/>
          <w:sz w:val="18"/>
        </w:rPr>
        <w:t>Lafta MS et al.  ·  Sleep Med  ·  15.09.2026  ·  PMID 42748496</w:t>
      </w:r>
    </w:p>
    <w:p>
      <w:r>
        <w:t>Proteomic- und Transkriptom-Analyse von Serum-Biomarkern bei Narkolepsie-Patienten aus H1N1-Pandemrix-geimpften Kohorten (Schweden, Finnland 2009–2010).</w:t>
      </w:r>
    </w:p>
    <w:p>
      <w:r>
        <w:rPr>
          <w:b/>
        </w:rPr>
        <w:t xml:space="preserve">Ergebnis: </w:t>
      </w:r>
      <w:r>
        <w:t>Sechs überlappende Proteine mit signifikanten Unterschieden zwischen Narkolepsie-Typ-1-Patienten und Kontrollen: UNC5C, VWC2, CPA2, GFRα-1, CLEC10A (herunterreguliert), HAGH (unterschiedliche Richtung). Befunde explorativ und hypothesen-generierend, keine etablierten Biomarker.</w:t>
      </w:r>
    </w:p>
    <w:p>
      <w:r>
        <w:rPr>
          <w:b/>
          <w:sz w:val="19"/>
        </w:rPr>
        <w:t xml:space="preserve">Übertragbarkeit: </w:t>
      </w:r>
      <w:r>
        <w:rPr>
          <w:sz w:val="19"/>
        </w:rPr>
        <w:t>Skandinavien, bekannter Impfnebenwirkungsfall mit gutem Follow-up; Transferbarkeit auf Sicherheitsmonitoring begrenzt</w:t>
      </w:r>
    </w:p>
    <w:p>
      <w:r>
        <w:rPr>
          <w:color w:val="5A7D3A"/>
          <w:sz w:val="18"/>
        </w:rPr>
        <w:t>https://pubmed.ncbi.nlm.nih.gov/42748496/</w:t>
      </w:r>
    </w:p>
    <w:p>
      <w:pPr>
        <w:pStyle w:val="Heading2"/>
      </w:pPr>
      <w:r>
        <w:t>COVID-19-Impfung bei Krebspatienten unter Checkpoint-Inhibitoren senkt Früh-Mortalität</w:t>
      </w:r>
    </w:p>
    <w:p>
      <w:r>
        <w:rPr>
          <w:i/>
          <w:color w:val="666666"/>
          <w:sz w:val="18"/>
        </w:rPr>
        <w:t>Salem JE et al.  ·  Nat Med  ·  10.09.2026  ·  PMID 42722885</w:t>
      </w:r>
    </w:p>
    <w:p>
      <w:r>
        <w:t>Kohortenstudie an 95.015 Krebspatienten aus französischer Gesundheitsdatenbank zur Assoziation zwischen mRNA-COVID-19-Impfung und Überlebensergebnis bei ICl-Therapie.</w:t>
      </w:r>
    </w:p>
    <w:p>
      <w:r>
        <w:rPr>
          <w:b/>
        </w:rPr>
        <w:t xml:space="preserve">Ergebnis: </w:t>
      </w:r>
      <w:r>
        <w:t>Impfung vor ICl-Start: Hazard Ratio 0,90 (KI 0,87–0,94) für Gesamtmortalität in Monaten 1–3, nach 6 Monaten HR 0,96 (KI 0,93–1,00). Ähnliche Muster nach ICl-Start. Frühe, transiente Assoziation eher als spezifischer mRNA-Effekt, möglicherweise Gesundeneffekt.</w:t>
      </w:r>
    </w:p>
    <w:p>
      <w:r>
        <w:rPr>
          <w:b/>
          <w:sz w:val="19"/>
        </w:rPr>
        <w:t xml:space="preserve">Übertragbarkeit: </w:t>
      </w:r>
      <w:r>
        <w:rPr>
          <w:sz w:val="19"/>
        </w:rPr>
        <w:t>Frankreich (vergleichbares Gesundheitssystem), nationale Datenbank mit vollständiger Verfolgung</w:t>
      </w:r>
    </w:p>
    <w:p>
      <w:r>
        <w:rPr>
          <w:color w:val="5A7D3A"/>
          <w:sz w:val="18"/>
        </w:rPr>
        <w:t>https://pubmed.ncbi.nlm.nih.gov/42722885/</w:t>
      </w:r>
    </w:p>
    <w:p>
      <w:pPr>
        <w:pStyle w:val="Heading1"/>
      </w:pPr>
      <w:r>
        <w:t>Aufgenommen am 15.10.2026</w:t>
      </w:r>
    </w:p>
    <w:p>
      <w:pPr>
        <w:pStyle w:val="Heading2"/>
      </w:pPr>
      <w:r>
        <w:t>HPV-Impfkosten-Analysen: Metho­den bestimmen das Ergebnis mehr als der Impfstoff</w:t>
      </w:r>
    </w:p>
    <w:p>
      <w:r>
        <w:rPr>
          <w:i/>
          <w:color w:val="666666"/>
          <w:sz w:val="18"/>
        </w:rPr>
        <w:t>Kisa A et al.  ·  PLoS One  ·  14.10.2026  ·  PMID 42873751</w:t>
      </w:r>
    </w:p>
    <w:p>
      <w:r>
        <w:t>Scoping Review von 44 ökonomischen Evaluationen zur HPV-Impfung (2003–2025), Analyse von Methodenvielfalt, Treibern der Variation und Übertragbarkeit.</w:t>
      </w:r>
    </w:p>
    <w:p>
      <w:r>
        <w:rPr>
          <w:b/>
        </w:rPr>
        <w:t xml:space="preserve">Ergebnis: </w:t>
      </w:r>
      <w:r>
        <w:t>33 vollständige Kosteneffektivitäts­studien analysiert. Haupttreiber der Variation: Impfstoffpreis, Diskontrate, Herden­immunitäts­annahmen, Kreuzschutz­annahmen, Schwellenwert. Berichtsqualität korrelierte nicht mit methodischer Kreditwürdigkeit. Kostensätze und Screening­kontext bestimmen Übertragbarkeit mehr als reine ICER-Werte. Formale Analysen zu Ein-Dosis-Szenarien emerging, aber Daten zu Langzeitschutz und umsetzungsrelevanten Kosten fehlend.</w:t>
      </w:r>
    </w:p>
    <w:p>
      <w:r>
        <w:rPr>
          <w:b/>
          <w:sz w:val="19"/>
        </w:rPr>
        <w:t xml:space="preserve">Übertragbarkeit: </w:t>
      </w:r>
      <w:r>
        <w:rPr>
          <w:sz w:val="19"/>
        </w:rPr>
        <w:t>Verschiedene Länder, aber Methoden-Abhängigkeit zeigt: direkte Übertragung kostet­eff­ektivitäts­befunde problematisch</w:t>
      </w:r>
    </w:p>
    <w:p>
      <w:r>
        <w:rPr>
          <w:color w:val="5A7D3A"/>
          <w:sz w:val="18"/>
        </w:rPr>
        <w:t>https://pubmed.ncbi.nlm.nih.gov/42873751/</w:t>
      </w:r>
    </w:p>
    <w:p>
      <w:pPr>
        <w:pStyle w:val="Heading2"/>
      </w:pPr>
      <w:r>
        <w:t>RSV-Impfquoten bei älteren US-Amerikanern bleiben niedrig</w:t>
      </w:r>
    </w:p>
    <w:p>
      <w:r>
        <w:rPr>
          <w:i/>
          <w:color w:val="666666"/>
          <w:sz w:val="18"/>
        </w:rPr>
        <w:t>Saundankar V et al.  ·  Hum Vaccin Immunother  ·  14.10.2026  ·  PMID 42872881</w:t>
      </w:r>
    </w:p>
    <w:p>
      <w:r>
        <w:t>Retrospektive Analyse der RSV-Impfquoten bei Medicare-Versicherten ab 65 Jahren in zwei Saisons.</w:t>
      </w:r>
    </w:p>
    <w:p>
      <w:r>
        <w:rPr>
          <w:b/>
        </w:rPr>
        <w:t xml:space="preserve">Ergebnis: </w:t>
      </w:r>
      <w:r>
        <w:t>Insgesamt 21% der ≥65-Jährigen in der Vorsaison 2023/24 geimpft, in Saison 2024/25 sinkend. Höhere Quote bei ≥75-Jährigen. Von 1,7 Mio. Personen, die 2024-Kriterien erfüllten, waren etwa 80% ungeimpft. Impfspitzen im Oktober beider Jahre. Zielgerichtete Strategien zur Erreichung von Hochrisiko-Gruppen erforderlich.</w:t>
      </w:r>
    </w:p>
    <w:p>
      <w:r>
        <w:rPr>
          <w:b/>
          <w:sz w:val="19"/>
        </w:rPr>
        <w:t xml:space="preserve">Übertragbarkeit: </w:t>
      </w:r>
      <w:r>
        <w:rPr>
          <w:sz w:val="19"/>
        </w:rPr>
        <w:t>USA, anderes Versicherungssystem; Befund zur Uptake-Barriere übertragbar, Daten nicht direkt auf Deutschland anwendbar</w:t>
      </w:r>
    </w:p>
    <w:p>
      <w:r>
        <w:rPr>
          <w:color w:val="5A7D3A"/>
          <w:sz w:val="18"/>
        </w:rPr>
        <w:t>https://pubmed.ncbi.nlm.nih.gov/42872881/</w:t>
      </w:r>
    </w:p>
    <w:p>
      <w:pPr>
        <w:pStyle w:val="Heading2"/>
      </w:pPr>
      <w:r>
        <w:t>Kombinimpfstoff gegen Influenza und COVID-19: Potenzial für höhere Impfquoten</w:t>
      </w:r>
    </w:p>
    <w:p>
      <w:r>
        <w:rPr>
          <w:i/>
          <w:color w:val="666666"/>
          <w:sz w:val="18"/>
        </w:rPr>
        <w:t>Schaffner W et al.  ·  Vaccine  ·  14.11.2026  ·  PMID 42790130</w:t>
      </w:r>
    </w:p>
    <w:p>
      <w:r>
        <w:t>Übersichtsarbeit zur Wirkung und Praktikabilität einer kombinierten Influenza-COVID-19-Impfung bei Erwachsenen.</w:t>
      </w:r>
    </w:p>
    <w:p>
      <w:r>
        <w:rPr>
          <w:b/>
        </w:rPr>
        <w:t xml:space="preserve">Ergebnis: </w:t>
      </w:r>
      <w:r>
        <w:t>Kombinimpfstoffe könnten die Akzeptanz durch vereinfachte Dosierung erhöhen und Impfgelegenheiten nicht verpassen. Fachkräfte und Patienten zeigen hohes Interesse; mehrere Kandidaten befinden sich in klinischen Prüfungen. Ein Impfstoff mit optimierter Timing und Virenstamm-Auswahl könnte den Schutz gegen zwei führende respiratorische Erreger stärken.</w:t>
      </w:r>
    </w:p>
    <w:p>
      <w:r>
        <w:rPr>
          <w:b/>
          <w:sz w:val="19"/>
        </w:rPr>
        <w:t xml:space="preserve">Übertragbarkeit: </w:t>
      </w:r>
      <w:r>
        <w:rPr>
          <w:sz w:val="19"/>
        </w:rPr>
        <w:t>Deutschland und andere Länder mit vergleichbarem Zugangsweg; Übertragbarkeit hängt von Empfehlungslogik ab</w:t>
      </w:r>
    </w:p>
    <w:p>
      <w:r>
        <w:rPr>
          <w:color w:val="5A7D3A"/>
          <w:sz w:val="18"/>
        </w:rPr>
        <w:t>https://pubmed.ncbi.nlm.nih.gov/42790130/</w:t>
      </w:r>
    </w:p>
    <w:p>
      <w:pPr>
        <w:pStyle w:val="Heading2"/>
      </w:pPr>
      <w:r>
        <w:t>Impfskepsis bei Haustieren: Vertrauen, Risiko­wahrnehmung und 'natürlicher' Ansatz</w:t>
      </w:r>
    </w:p>
    <w:p>
      <w:r>
        <w:rPr>
          <w:i/>
          <w:color w:val="666666"/>
          <w:sz w:val="18"/>
        </w:rPr>
        <w:t>Bloodworth S et al.  ·  Prev Vet Med  ·  16.09.2026  ·  PMID 42753359</w:t>
      </w:r>
    </w:p>
    <w:p>
      <w:r>
        <w:t>Qualitative Studie mittels Leitfaden­interviews mit 18 Hunde-/Katzen­haltern im UK zu Faktoren, die Impfentscheidungen beeinflussen.</w:t>
      </w:r>
    </w:p>
    <w:p>
      <w:r>
        <w:rPr>
          <w:b/>
        </w:rPr>
        <w:t xml:space="preserve">Ergebnis: </w:t>
      </w:r>
      <w:r>
        <w:t>Drei Kategorien beeinflussen Impfentscheidungen: Vertrauen in tierärztliche Expertise, Wahrnehmung der Impfstoffsicherheit, Gesundheits­verständnis. Halter wägen Impfrisiken gegen Krankheitsrisiken ab, beeinflusst durch persönliche Erfahrung und diverse Informationsquellen. Ein 'natürlicher' Ansatz (Vermeidung synthetischer Stoffe) bei Hundehaltern wirkte sich negativ auf Impfbereitschaft aus. Maßnahmen sollten zielgruppenspezifisch sein.</w:t>
      </w:r>
    </w:p>
    <w:p>
      <w:r>
        <w:rPr>
          <w:b/>
          <w:sz w:val="19"/>
        </w:rPr>
        <w:t xml:space="preserve">Übertragbarkeit: </w:t>
      </w:r>
      <w:r>
        <w:rPr>
          <w:sz w:val="19"/>
        </w:rPr>
        <w:t>Vereinigtes Königreich; Erkenntnisse zu Vaccine Hesitancy-Faktoren übertragbar, aber Kontext Heimtiere unterscheidet sich von Humanmedizin</w:t>
      </w:r>
    </w:p>
    <w:p>
      <w:r>
        <w:rPr>
          <w:color w:val="5A7D3A"/>
          <w:sz w:val="18"/>
        </w:rPr>
        <w:t>https://pubmed.ncbi.nlm.nih.gov/42753359/</w:t>
      </w:r>
    </w:p>
    <w:p>
      <w:pPr>
        <w:pStyle w:val="Heading2"/>
      </w:pPr>
      <w:r>
        <w:t>HPV-Prävalenz sank bei jungen Frauen trotz weiterer Genotypen-Diversität</w:t>
      </w:r>
    </w:p>
    <w:p>
      <w:r>
        <w:rPr>
          <w:i/>
          <w:color w:val="666666"/>
          <w:sz w:val="18"/>
        </w:rPr>
        <w:t>Urbano A et al.  ·  Ann Epidemiol  ·  07.09.2026  ·  PMID 42705395</w:t>
      </w:r>
    </w:p>
    <w:p>
      <w:r>
        <w:t>Querschnittsstudie zur HPV-Infektionshäufigkeit und Genotypverteilung in Spanien nach langjähriger Impfung, vergleichend zwischen Frauen ≤30 Jahren (geimpft) und &gt;30 Jahren (ungeimpft).</w:t>
      </w:r>
    </w:p>
    <w:p>
      <w:r>
        <w:rPr>
          <w:b/>
        </w:rPr>
        <w:t xml:space="preserve">Ergebnis: </w:t>
      </w:r>
      <w:r>
        <w:t>Von 5.885 Frauen: Gesamtprävalenz 39,8%, bei 20–29-Jährigen 57,9%. In der Impfkohorte (≤30J.) war HPV-Prävalenz höher (57,0% vs. 36,8%, p&lt;0,001) als in der Ungeimpften, aber HPV16-Anteil deutlich niedriger mit heterogenerer Genotypverteilung – Vakzine-Effekt auf Zielgenotypen erkennbar.</w:t>
      </w:r>
    </w:p>
    <w:p>
      <w:r>
        <w:rPr>
          <w:b/>
          <w:sz w:val="19"/>
        </w:rPr>
        <w:t xml:space="preserve">Übertragbarkeit: </w:t>
      </w:r>
      <w:r>
        <w:rPr>
          <w:sz w:val="19"/>
        </w:rPr>
        <w:t>Spanien, vergleichbare öffentliche Impfprogramme; Aussage gilt für hochgeimpfte europäische Populationen</w:t>
      </w:r>
    </w:p>
    <w:p>
      <w:r>
        <w:rPr>
          <w:color w:val="5A7D3A"/>
          <w:sz w:val="18"/>
        </w:rPr>
        <w:t>https://pubmed.ncbi.nlm.nih.gov/42705395/</w:t>
      </w:r>
    </w:p>
    <w:p>
      <w:pPr>
        <w:pStyle w:val="Heading2"/>
      </w:pPr>
      <w:r>
        <w:t>Nachverfolgung von Impfnebenwirkungen: Wann lohnt sich der Aufwand?</w:t>
      </w:r>
    </w:p>
    <w:p>
      <w:r>
        <w:rPr>
          <w:i/>
          <w:color w:val="666666"/>
          <w:sz w:val="18"/>
        </w:rPr>
        <w:t>Kara V et al.  ·  Drug Saf  ·  14.08.2026  ·  PMID 42599564</w:t>
      </w:r>
    </w:p>
    <w:p>
      <w:r>
        <w:t>Delphi-Konsensusverfahren mit internationalen Fachleuten zu Szenarien, in denen die Verfolgung von Nebenwirkungsmeldungen die Impfstoffsicherheitsbewertung verbessert.</w:t>
      </w:r>
    </w:p>
    <w:p>
      <w:r>
        <w:rPr>
          <w:b/>
        </w:rPr>
        <w:t xml:space="preserve">Ergebnis: </w:t>
      </w:r>
      <w:r>
        <w:t>Experten identifizierten drei Szenarien mit echtem Mehrwert: Kausalitätsprüfung, Signaldetektion und Risikomanagement. Gering oder kein Nutzen bei bekannten Labelnebenwirkungen, fehlender Kontaktierbarkeit und Fällen, wo zusätzliche Daten das Nutzen-Risiko-Verhältnis nicht ändern würden. Ressourcenschonende, zielgerichtete Verfolgung ersetzt unfokussierte Routine.</w:t>
      </w:r>
    </w:p>
    <w:p>
      <w:r>
        <w:rPr>
          <w:b/>
          <w:sz w:val="19"/>
        </w:rPr>
        <w:t xml:space="preserve">Übertragbarkeit: </w:t>
      </w:r>
      <w:r>
        <w:rPr>
          <w:sz w:val="19"/>
        </w:rPr>
        <w:t>Niederlande, Pharmakovigilanz-System; gilt für alle europäischen Meldewesen</w:t>
      </w:r>
    </w:p>
    <w:p>
      <w:r>
        <w:rPr>
          <w:color w:val="5A7D3A"/>
          <w:sz w:val="18"/>
        </w:rPr>
        <w:t>https://pubmed.ncbi.nlm.nih.gov/42599564/</w:t>
      </w:r>
    </w:p>
    <w:p>
      <w:pPr>
        <w:pStyle w:val="Heading1"/>
      </w:pPr>
      <w:r>
        <w:t>Aufgenommen am 14.10.2026</w:t>
      </w:r>
    </w:p>
    <w:p>
      <w:pPr>
        <w:pStyle w:val="Heading2"/>
      </w:pPr>
      <w:r>
        <w:t>Rabies-Postexpositionsprophylaxe: 86% verzögert, trotz hohem Wissen um Prävention</w:t>
      </w:r>
    </w:p>
    <w:p>
      <w:r>
        <w:rPr>
          <w:i/>
          <w:color w:val="666666"/>
          <w:sz w:val="18"/>
        </w:rPr>
        <w:t>Hailu BK et al.  ·  PLoS Negl Trop Dis  ·  13.10.2026  ·  PMID 42868155</w:t>
      </w:r>
    </w:p>
    <w:p>
      <w:r>
        <w:t>Querschnittsstudie bei 260 Hundebiss-Opfern in Äthiopien zur Zeitverzögerung bei Impfbeginn und assoziierter Faktoren.</w:t>
      </w:r>
    </w:p>
    <w:p>
      <w:r>
        <w:rPr>
          <w:b/>
        </w:rPr>
        <w:t xml:space="preserve">Ergebnis: </w:t>
      </w:r>
      <w:r>
        <w:t>86,1% begannen Impfung nach 48 h (verzögert). Tiefe Bissverletzungen (OR 0,22) und Straßenhunde (OR 0,51) reduzierten Verzögerung. 88,5% kannten Tollwut, 95,4% wussten um Impfnotwendigkeit, 95% hielten Impfung für wirksam; aber fehlte Risikobewusstsein für Verzögerungsfolgen.</w:t>
      </w:r>
    </w:p>
    <w:p>
      <w:r>
        <w:rPr>
          <w:b/>
          <w:sz w:val="19"/>
        </w:rPr>
        <w:t xml:space="preserve">Übertragbarkeit: </w:t>
      </w:r>
      <w:r>
        <w:rPr>
          <w:sz w:val="19"/>
        </w:rPr>
        <w:t>Äthiopien, sehr niedriges Einkommenssetting; Befunde zu Impfverzögerung trotz Wissen zeigen universelles Problem</w:t>
      </w:r>
    </w:p>
    <w:p>
      <w:r>
        <w:rPr>
          <w:color w:val="5A7D3A"/>
          <w:sz w:val="18"/>
        </w:rPr>
        <w:t>https://pubmed.ncbi.nlm.nih.gov/42868155/</w:t>
      </w:r>
    </w:p>
    <w:p>
      <w:pPr>
        <w:pStyle w:val="Heading2"/>
      </w:pPr>
      <w:r>
        <w:t>Masernausbruch Mexiko 2025–2026: Rückkehr trotz früherer Elimination durch Impflücken</w:t>
      </w:r>
    </w:p>
    <w:p>
      <w:r>
        <w:rPr>
          <w:i/>
          <w:color w:val="666666"/>
          <w:sz w:val="18"/>
        </w:rPr>
        <w:t>Mojica-López L et al.  ·  Rev Peru Med Exp Salud Publica  ·  25.08.2026  ·  PMID 42867961</w:t>
      </w:r>
    </w:p>
    <w:p>
      <w:r>
        <w:t>Dokumentarische Analyse zu Masern-Reemergence in Mexiko nach regionaler Elimination 2016: Untersuchung struktureller Faktoren der Ausbruch 2025–2026.</w:t>
      </w:r>
    </w:p>
    <w:p>
      <w:r>
        <w:rPr>
          <w:b/>
        </w:rPr>
        <w:t xml:space="preserve">Ergebnis: </w:t>
      </w:r>
      <w:r>
        <w:t>Endemische Übertragung 1995 unterbrochen, regionale Elimination 2016 erreicht. 2025–2026 Reemergence in Kontexten niedriger Impfquoten, unvollständiger Impfschemata und räumlicher Ungleichheiten im Zugang. Ausbruch konzentrierte sich in Gebieten suboptimaler Abdeckung und höherer sozialer Vulnerabilität.</w:t>
      </w:r>
    </w:p>
    <w:p>
      <w:r>
        <w:rPr>
          <w:b/>
          <w:sz w:val="19"/>
        </w:rPr>
        <w:t xml:space="preserve">Übertragbarkeit: </w:t>
      </w:r>
      <w:r>
        <w:rPr>
          <w:sz w:val="19"/>
        </w:rPr>
        <w:t>Mexiko; zeigt Relevanz für Länder ohne permanentes Impfregister und Überwachungslücken</w:t>
      </w:r>
    </w:p>
    <w:p>
      <w:r>
        <w:rPr>
          <w:color w:val="5A7D3A"/>
          <w:sz w:val="18"/>
        </w:rPr>
        <w:t>https://pubmed.ncbi.nlm.nih.gov/42867961/</w:t>
      </w:r>
    </w:p>
    <w:p>
      <w:pPr>
        <w:pStyle w:val="Heading2"/>
      </w:pPr>
      <w:r>
        <w:t>COVID-19-Impfsicherheit: App-gestützte Pharmakovigilanz mit 732.864 Teilnehmern</w:t>
      </w:r>
    </w:p>
    <w:p>
      <w:r>
        <w:rPr>
          <w:i/>
          <w:color w:val="666666"/>
          <w:sz w:val="18"/>
        </w:rPr>
        <w:t>Kopp L et al.  ·  Vaccine  ·  14.11.2026  ·  PMID 42843285</w:t>
      </w:r>
    </w:p>
    <w:p>
      <w:r>
        <w:t>Prospektive Kohortenstudie zur Erfassung selbstberichteter Nebenwirkungen nach COVID-19-Impfung via Smartphone-App vom Paul-Ehrlich-Institut.</w:t>
      </w:r>
    </w:p>
    <w:p>
      <w:r>
        <w:rPr>
          <w:b/>
        </w:rPr>
        <w:t xml:space="preserve">Ergebnis: </w:t>
      </w:r>
      <w:r>
        <w:t>68% der Impfungen zeigten mindestens eine Nebenwirkung, 88% davon lokale und systemische Reaktogenität. Medizinische Versorgung wurde in 0,36% der Fälle benötigt. Die Ergebnisse bestätigen das bekannte Sicherheitsprofil.</w:t>
      </w:r>
    </w:p>
    <w:p>
      <w:r>
        <w:rPr>
          <w:b/>
          <w:sz w:val="19"/>
        </w:rPr>
        <w:t xml:space="preserve">Übertragbarkeit: </w:t>
      </w:r>
      <w:r>
        <w:rPr>
          <w:sz w:val="19"/>
        </w:rPr>
        <w:t>Deutschland, PEI-Daten, vergleichbar mit nationaler Pharmakovigilanz</w:t>
      </w:r>
    </w:p>
    <w:p>
      <w:r>
        <w:rPr>
          <w:color w:val="5A7D3A"/>
          <w:sz w:val="18"/>
        </w:rPr>
        <w:t>https://pubmed.ncbi.nlm.nih.gov/42843285/</w:t>
      </w:r>
    </w:p>
    <w:p>
      <w:pPr>
        <w:pStyle w:val="Heading2"/>
      </w:pPr>
      <w:r>
        <w:t>MMR-Untererfassung in englischen Hausarztpraxen: 31% der Geimpften nicht elektronisch dokumentiert</w:t>
      </w:r>
    </w:p>
    <w:p>
      <w:r>
        <w:rPr>
          <w:i/>
          <w:color w:val="666666"/>
          <w:sz w:val="18"/>
        </w:rPr>
        <w:t>Sanderson K et al.  ·  Vaccine  ·  14.11.2026  ·  PMID 42810172</w:t>
      </w:r>
    </w:p>
    <w:p>
      <w:r>
        <w:t>Zwei-Stufen-Clusterstudie in England zur Häufigkeit fehlender elektronischer Dokumentation von MMR-Impfungen in digitalen Praxisverwaltungssystemen.</w:t>
      </w:r>
    </w:p>
    <w:p>
      <w:r>
        <w:rPr>
          <w:b/>
        </w:rPr>
        <w:t xml:space="preserve">Ergebnis: </w:t>
      </w:r>
      <w:r>
        <w:t>Bei elektronischer Abfrage erschienen 18,3–31,9% vollgeimpfter Kinder je nach Alter als ungeimpft/teilgeimpft. Selbst nach manueller Aktenprüfung persistierten Impflücken. Die Kodierung war regional unterschiedlich.</w:t>
      </w:r>
    </w:p>
    <w:p>
      <w:r>
        <w:rPr>
          <w:b/>
          <w:sz w:val="19"/>
        </w:rPr>
        <w:t xml:space="preserve">Übertragbarkeit: </w:t>
      </w:r>
      <w:r>
        <w:rPr>
          <w:sz w:val="19"/>
        </w:rPr>
        <w:t>England, digitale Dokumentationssysteme; auf Deutschland übertragbar, da vergleichbare Praxismanagementsysteme</w:t>
      </w:r>
    </w:p>
    <w:p>
      <w:r>
        <w:rPr>
          <w:color w:val="5A7D3A"/>
          <w:sz w:val="18"/>
        </w:rPr>
        <w:t>https://pubmed.ncbi.nlm.nih.gov/42810172/</w:t>
      </w:r>
    </w:p>
    <w:p>
      <w:pPr>
        <w:pStyle w:val="Heading2"/>
      </w:pPr>
      <w:r>
        <w:t>Bildungsniveau und Impfskepsis: Niederländische Metaanalyse zeigt konsistente, aber kleine Unterschiede</w:t>
      </w:r>
    </w:p>
    <w:p>
      <w:r>
        <w:rPr>
          <w:i/>
          <w:color w:val="666666"/>
          <w:sz w:val="18"/>
        </w:rPr>
        <w:t>Boer M et al.  ·  Vaccine  ·  14.11.2026  ·  PMID 42784871</w:t>
      </w:r>
    </w:p>
    <w:p>
      <w:r>
        <w:t>Bayesische Evidenzsynthese von vier niederländischen Studien (n=23.174) zu Zusammenhang zwischen Schulbildung und Impfeinstellungen vor und nach COVID-19-Pandemie.</w:t>
      </w:r>
    </w:p>
    <w:p>
      <w:r>
        <w:rPr>
          <w:b/>
        </w:rPr>
        <w:t xml:space="preserve">Ergebnis: </w:t>
      </w:r>
      <w:r>
        <w:t>Höher Gebildete zeigten konsistent positivere Impfeinstellungen als niedriger Gebildete, aber Unterschiedsmagnitude variierte stark. Longitudinal waren moderate Unterschiede wahrscheinlicher. Einstellungen blieben über die Zeit stabil.</w:t>
      </w:r>
    </w:p>
    <w:p>
      <w:r>
        <w:rPr>
          <w:b/>
          <w:sz w:val="19"/>
        </w:rPr>
        <w:t xml:space="preserve">Übertragbarkeit: </w:t>
      </w:r>
      <w:r>
        <w:rPr>
          <w:sz w:val="19"/>
        </w:rPr>
        <w:t>Niederlande, vergleichbares Versicherungssystem und Dokumentation; hohe Übertragbarkeit auf Deutschland</w:t>
      </w:r>
    </w:p>
    <w:p>
      <w:r>
        <w:rPr>
          <w:color w:val="5A7D3A"/>
          <w:sz w:val="18"/>
        </w:rPr>
        <w:t>https://pubmed.ncbi.nlm.nih.gov/42784871/</w:t>
      </w:r>
    </w:p>
    <w:p>
      <w:pPr>
        <w:pStyle w:val="Heading2"/>
      </w:pPr>
      <w:r>
        <w:t>HPV-Schulimpfung Frankreich: Digitale Nachverfolgung erhöht Einwilligung von 12.023 auf 13.714 (2025)</w:t>
      </w:r>
    </w:p>
    <w:p>
      <w:r>
        <w:rPr>
          <w:i/>
          <w:color w:val="666666"/>
          <w:sz w:val="18"/>
        </w:rPr>
        <w:t>Trin K et al.  ·  Infect Dis Now  ·  18.09.2026  ·  PMID 42759611</w:t>
      </w:r>
    </w:p>
    <w:p>
      <w:r>
        <w:t>Evaluierung von Maßnahmen zur Steigerung elterlicher Zustimmung zur HPV-Impfung von Schülern in Nouvelle-Aquitaine durch Reopening der digitalen Plattform und Echtzeit-Monitoring.</w:t>
      </w:r>
    </w:p>
    <w:p>
      <w:r>
        <w:rPr>
          <w:b/>
        </w:rPr>
        <w:t xml:space="preserve">Ergebnis: </w:t>
      </w:r>
      <w:r>
        <w:t>Septembe 2024: 12.023 Zustimmungen. Nach Reopening der Plattform (Januar–März 2025) mit wöchentlicher Überwachung plus Sozialmarketing-Kampagne: zusätzlich 1.506 Zustimmungen, final 13.714 (10.607 geimpft). Maßnahmen kompensierten Rückgang partiell.</w:t>
      </w:r>
    </w:p>
    <w:p>
      <w:r>
        <w:rPr>
          <w:b/>
          <w:sz w:val="19"/>
        </w:rPr>
        <w:t xml:space="preserve">Übertragbarkeit: </w:t>
      </w:r>
      <w:r>
        <w:rPr>
          <w:sz w:val="19"/>
        </w:rPr>
        <w:t>Frankreich, Schulimpfprogramm; ähnliche Struktur zu deutschen Schulimpfangeboten</w:t>
      </w:r>
    </w:p>
    <w:p>
      <w:r>
        <w:rPr>
          <w:color w:val="5A7D3A"/>
          <w:sz w:val="18"/>
        </w:rPr>
        <w:t>https://pubmed.ncbi.nlm.nih.gov/42759611/</w:t>
      </w:r>
    </w:p>
    <w:p>
      <w:pPr>
        <w:pStyle w:val="Heading1"/>
      </w:pPr>
      <w:r>
        <w:t>Aufgenommen am 13.10.2026</w:t>
      </w:r>
    </w:p>
    <w:p>
      <w:pPr>
        <w:pStyle w:val="Heading2"/>
      </w:pPr>
      <w:r>
        <w:t>Was Ältere in Peking von Grippeimpfung abhält und anzieht</w:t>
      </w:r>
    </w:p>
    <w:p>
      <w:r>
        <w:rPr>
          <w:i/>
          <w:color w:val="666666"/>
          <w:sz w:val="18"/>
        </w:rPr>
        <w:t>Jia M et al.  ·  JAMA Netw Open  ·  01.10.2026  ·  PMID 42862555</w:t>
      </w:r>
    </w:p>
    <w:p>
      <w:r>
        <w:t>Diskrete Wahlexperimente mit 514 Personen über 60 Jahren in zwei Pekinger Bezirken identifizierten Faktoren, die die Bereitschaft zur Grippeimpfung erhöhen oder senken.</w:t>
      </w:r>
    </w:p>
    <w:p>
      <w:r>
        <w:rPr>
          <w:b/>
        </w:rPr>
        <w:t xml:space="preserve">Ergebnis: </w:t>
      </w:r>
      <w:r>
        <w:t>Höhere Impfstoffwirksamkeit (+30,7 Prozentpunkte bei Steigerung von 20 auf 80 Prozent), Telefonerinnerungen und Botschaften zum Schutz von Familienangehörigen erhöhten die Akzeptanz; höhere wahrgenommene Risiken von Nebenwirkungen senkten sie um 20 Prozentpunkte. Nie-Geimpfte zeigten weniger Gewicht auf Wirksamkeit und höhere Sensitivität für Nebenwirkungsrisiken.</w:t>
      </w:r>
    </w:p>
    <w:p>
      <w:r>
        <w:rPr>
          <w:b/>
          <w:sz w:val="19"/>
        </w:rPr>
        <w:t xml:space="preserve">Übertragbarkeit: </w:t>
      </w:r>
      <w:r>
        <w:rPr>
          <w:sz w:val="19"/>
        </w:rPr>
        <w:t>China, Wahlexperiment mit hohem Evidenzlevel, aber andere epidemiologische Ausgangslage und Versorgungsstruktur</w:t>
      </w:r>
    </w:p>
    <w:p>
      <w:r>
        <w:rPr>
          <w:color w:val="5A7D3A"/>
          <w:sz w:val="18"/>
        </w:rPr>
        <w:t>https://pubmed.ncbi.nlm.nih.gov/42862555/</w:t>
      </w:r>
    </w:p>
    <w:p>
      <w:pPr>
        <w:pStyle w:val="Heading2"/>
      </w:pPr>
      <w:r>
        <w:t>Spurenelemente beeinflussen Antikörperantwort auf COVID-19-Impfung bei Rheuma nicht</w:t>
      </w:r>
    </w:p>
    <w:p>
      <w:r>
        <w:rPr>
          <w:i/>
          <w:color w:val="666666"/>
          <w:sz w:val="18"/>
        </w:rPr>
        <w:t>Gadbaan Hama S  ·  J Infect Dev Ctries  ·  30.09.2026  ·  PMID 42858342</w:t>
      </w:r>
    </w:p>
    <w:p>
      <w:r>
        <w:t>Querschnittsstudie mit 79 Rheuma-Patienten und 47 Kontrollen im Irak, die Zink-, Kupfer-, Magnesium- und Ceruloplasmin-Spiegel mit COVID-19-Impfantikörper-Positivität in Beziehung setzte.</w:t>
      </w:r>
    </w:p>
    <w:p>
      <w:r>
        <w:rPr>
          <w:b/>
        </w:rPr>
        <w:t xml:space="preserve">Ergebnis: </w:t>
      </w:r>
      <w:r>
        <w:t>Signifikante Unterschiede in Spurenelementspiegeln zwischen Geimpften und Ungeimpften (p &lt; 0,05), aber keine signifikanten Assoziationen zwischen IgG-Positivität und Spurenelemantkatus in einer Gruppe (p &gt; 0,05). DMARD-Therapie war nicht signifikant mit IgG-Response assoziiert (p = 0,439). Breite humorale Immunität trotz unterschiedlicher Nährstoff- und therapeutischer Profile.</w:t>
      </w:r>
    </w:p>
    <w:p>
      <w:r>
        <w:rPr>
          <w:b/>
          <w:sz w:val="19"/>
        </w:rPr>
        <w:t xml:space="preserve">Übertragbarkeit: </w:t>
      </w:r>
      <w:r>
        <w:rPr>
          <w:sz w:val="19"/>
        </w:rPr>
        <w:t>Irak, einfaches Querschnitt-Design, aber klinisch relevante Frage für Immunsupprimierte</w:t>
      </w:r>
    </w:p>
    <w:p>
      <w:r>
        <w:rPr>
          <w:color w:val="5A7D3A"/>
          <w:sz w:val="18"/>
        </w:rPr>
        <w:t>https://pubmed.ncbi.nlm.nih.gov/42858342/</w:t>
      </w:r>
    </w:p>
    <w:p>
      <w:pPr>
        <w:pStyle w:val="Heading2"/>
      </w:pPr>
      <w:r>
        <w:t>BCG-Impfung könnte Immunschwäche bei Nierenkranken über trainierte Immunität umkehren</w:t>
      </w:r>
    </w:p>
    <w:p>
      <w:r>
        <w:rPr>
          <w:i/>
          <w:color w:val="666666"/>
          <w:sz w:val="18"/>
        </w:rPr>
        <w:t>Sharma R et al.  ·  Indian J Med Res  ·  Aug. 2026  ·  PMID 42851218</w:t>
      </w:r>
    </w:p>
    <w:p>
      <w:r>
        <w:t>Ein Übersichtsartikel beschreibt, wie BCG-Impfung durch epigenetische Umprograierung der angeborenen Immunität (trainierte Immunität) die Impfantwort und Infektionsabwehr bei Patienten mit chronischer Nierenkrankheit möglicherweise verbessern könnte.</w:t>
      </w:r>
    </w:p>
    <w:p>
      <w:r>
        <w:rPr>
          <w:b/>
        </w:rPr>
        <w:t xml:space="preserve">Ergebnis: </w:t>
      </w:r>
      <w:r>
        <w:t>BCG stimuliert NOD2- und Akt/mTOR-Signalwege, erhöht aktivierende Histonmarken (H3K4me3) bei Zytokingenen und stabilisiert repressive Marken (H3K9me3) in nicht-essentiellen Genomabschnitten. Dies erzeugt transkriptionell permissives Chromatin, das Phagozytose und antimikrobielle Aktivität von Monozyten, Makrophagen und Neutrophilen steigert. Der Mechanismus ist hypothetisch; klinische Evidenz fehlt.</w:t>
      </w:r>
    </w:p>
    <w:p>
      <w:r>
        <w:rPr>
          <w:b/>
          <w:sz w:val="19"/>
        </w:rPr>
        <w:t xml:space="preserve">Übertragbarkeit: </w:t>
      </w:r>
      <w:r>
        <w:rPr>
          <w:sz w:val="19"/>
        </w:rPr>
        <w:t>Theoretische Übersicht ohne empirische Daten, spekulativ für vulnerable Population, keine direkten Versorgungsdaten</w:t>
      </w:r>
    </w:p>
    <w:p>
      <w:r>
        <w:rPr>
          <w:color w:val="5A7D3A"/>
          <w:sz w:val="18"/>
        </w:rPr>
        <w:t>https://pubmed.ncbi.nlm.nih.gov/42851218/</w:t>
      </w:r>
    </w:p>
    <w:p>
      <w:pPr>
        <w:pStyle w:val="Heading2"/>
      </w:pPr>
      <w:r>
        <w:t>COVID-19-Impfstoffe verlangsamen nicht die Nierenkrankheit</w:t>
      </w:r>
    </w:p>
    <w:p>
      <w:r>
        <w:rPr>
          <w:i/>
          <w:color w:val="666666"/>
          <w:sz w:val="18"/>
        </w:rPr>
        <w:t>Emre T et al.  ·  Clin Lab  ·  01.10.2026  ·  PMID 42847950</w:t>
      </w:r>
    </w:p>
    <w:p>
      <w:r>
        <w:t>Retrospektive Kohortenstudie mit 140 Nierenpatienten an einem Krankenhaus in der Türkei, die vor, während und 24 Monate nach Impfung die Nierenfunktion verfolgten.</w:t>
      </w:r>
    </w:p>
    <w:p>
      <w:r>
        <w:rPr>
          <w:b/>
        </w:rPr>
        <w:t xml:space="preserve">Ergebnis: </w:t>
      </w:r>
      <w:r>
        <w:t>Alle drei Impfgruppen (nur BioNTech, nur inaktiviert, gemischt) zeigten signifikante Verschlechterungen der eGFR und Kreatinin-Anstiege über 5 Jahre (p &lt; 0,001), aber keine signifikanten Unterschiede zwischen den Impftypen (p &gt; 0,05). Weder mRNA- noch inaktivierte COVID-19-Impfstoffe beschleunigten die Nierenkrankheit.</w:t>
      </w:r>
    </w:p>
    <w:p>
      <w:r>
        <w:rPr>
          <w:b/>
          <w:sz w:val="19"/>
        </w:rPr>
        <w:t xml:space="preserve">Übertragbarkeit: </w:t>
      </w:r>
      <w:r>
        <w:rPr>
          <w:sz w:val="19"/>
        </w:rPr>
        <w:t>Türkei, retrospektiv, kleiner Kreis, aber Sicherheitssignal adressiert häufige Sorge bei vulnerable Population</w:t>
      </w:r>
    </w:p>
    <w:p>
      <w:r>
        <w:rPr>
          <w:color w:val="5A7D3A"/>
          <w:sz w:val="18"/>
        </w:rPr>
        <w:t>https://pubmed.ncbi.nlm.nih.gov/42847950/</w:t>
      </w:r>
    </w:p>
    <w:p>
      <w:pPr>
        <w:pStyle w:val="Heading2"/>
      </w:pPr>
      <w:r>
        <w:t>Tuberkulose-Patienten zeigen abgeschwächte Immunantwort auf COVID-19-Impfung trotz Antikörper</w:t>
      </w:r>
    </w:p>
    <w:p>
      <w:r>
        <w:rPr>
          <w:i/>
          <w:color w:val="666666"/>
          <w:sz w:val="18"/>
        </w:rPr>
        <w:t>Jiang Z et al.  ·  Front Immunol  ·  18.09.2026  ·  PMID 42827549</w:t>
      </w:r>
    </w:p>
    <w:p>
      <w:r>
        <w:t>Eine Substudie einer RCT verglich 38 TB-Patienten unter Therapie mit 38 Gesunden nach COVID-19-Impfung mittels Proteomik, Transkriptomik und Antikörpertest.</w:t>
      </w:r>
    </w:p>
    <w:p>
      <w:r>
        <w:rPr>
          <w:b/>
        </w:rPr>
        <w:t xml:space="preserve">Ergebnis: </w:t>
      </w:r>
      <w:r>
        <w:t>Trotz vergleichbarer Neutralisierungsantikörper-Titer zeigten TB-Patienten minimale Änderungen der Plasma-Proteome und Transkriptome nach Impfung, während Gesunde breit angelegte Umweltungen aufwiesen. TB-Patienten hatten baseline-Deplation von Proteinen in Vesikel-Transport- und Phagozytose-Wegen und verminderte Immunzell-Infiltration nach Vakzination.</w:t>
      </w:r>
    </w:p>
    <w:p>
      <w:r>
        <w:rPr>
          <w:b/>
          <w:sz w:val="19"/>
        </w:rPr>
        <w:t xml:space="preserve">Übertragbarkeit: </w:t>
      </w:r>
      <w:r>
        <w:rPr>
          <w:sz w:val="19"/>
        </w:rPr>
        <w:t>Vietnam/China (Nanjing) aber RCT-Design mit klaren molekularen Metriken, Übertragbar für Immunschwache</w:t>
      </w:r>
    </w:p>
    <w:p>
      <w:r>
        <w:rPr>
          <w:color w:val="5A7D3A"/>
          <w:sz w:val="18"/>
        </w:rPr>
        <w:t>https://pubmed.ncbi.nlm.nih.gov/42827549/</w:t>
      </w:r>
    </w:p>
    <w:p>
      <w:pPr>
        <w:pStyle w:val="Heading1"/>
      </w:pPr>
      <w:r>
        <w:t>Aufgenommen am 12.10.2026</w:t>
      </w:r>
    </w:p>
    <w:p>
      <w:pPr>
        <w:pStyle w:val="Heading2"/>
      </w:pPr>
      <w:r>
        <w:t>COVID-19-Impfung reduziert Risiko für Post-COVID-Herzerkrankungen</w:t>
      </w:r>
    </w:p>
    <w:p>
      <w:r>
        <w:rPr>
          <w:i/>
          <w:color w:val="666666"/>
          <w:sz w:val="18"/>
        </w:rPr>
        <w:t>Maria LFBS et al.  ·  Rev Med Virol  ·  Nov. 2026  ·  PMID 42858449</w:t>
      </w:r>
    </w:p>
    <w:p>
      <w:r>
        <w:t>Systematische Qualitative Synthese der Evidenz nach Bradford Hill-Kriterien und Sufficient Component Cause-Modell zur Frage, ob Impfung vor Post-COVID-Herz-Kreislauf-Komplikationen schützt.</w:t>
      </w:r>
    </w:p>
    <w:p>
      <w:r>
        <w:rPr>
          <w:b/>
        </w:rPr>
        <w:t xml:space="preserve">Ergebnis: </w:t>
      </w:r>
      <w:r>
        <w:t>COVID-19-Impfung erfüllte vier von neun Bradford-Hill-Kriterien als protektiver Faktor gegen Post-COVID-Kardiovaskulärerkrankungen: Assoziationsstärke, Konsistenz, Temporalität und biologischer Gradient. Drei Kriterien (biolog. Plausibilität, Kohärenz, Analogie) waren teilweise erfüllt. Schlussfolgerung: Impfung erwies sich wirksam über die Akutphase hinaus.</w:t>
      </w:r>
    </w:p>
    <w:p>
      <w:r>
        <w:rPr>
          <w:b/>
          <w:sz w:val="19"/>
        </w:rPr>
        <w:t xml:space="preserve">Übertragbarkeit: </w:t>
      </w:r>
      <w:r>
        <w:rPr>
          <w:sz w:val="19"/>
        </w:rPr>
        <w:t>Brasilien/Lateinamerika; Befund zur kardiovaskulären Langzeit-Schutzwirkung international übertragbar</w:t>
      </w:r>
    </w:p>
    <w:p>
      <w:r>
        <w:rPr>
          <w:color w:val="5A7D3A"/>
          <w:sz w:val="18"/>
        </w:rPr>
        <w:t>https://pubmed.ncbi.nlm.nih.gov/42858449/</w:t>
      </w:r>
    </w:p>
    <w:p>
      <w:pPr>
        <w:pStyle w:val="Heading2"/>
      </w:pPr>
      <w:r>
        <w:t>Impffieber wird durch Darmbakterienzusammensetzung geprägt</w:t>
      </w:r>
    </w:p>
    <w:p>
      <w:r>
        <w:rPr>
          <w:i/>
          <w:color w:val="666666"/>
          <w:sz w:val="18"/>
        </w:rPr>
        <w:t>Huus KE et al.  ·  Science  ·  08.10.2026  ·  PMID 42848888</w:t>
      </w:r>
    </w:p>
    <w:p>
      <w:r>
        <w:t>Longitudinale Profilerstellung der Darmflora bei 171 Erwachsenen nach mRNA-Impfung zeigte, dass Fieber mit niedriger intestinaler Entzündung und gesteigerten flagellierten Lachnospiraceae-Bakterien korreliert.</w:t>
      </w:r>
    </w:p>
    <w:p>
      <w:r>
        <w:rPr>
          <w:b/>
        </w:rPr>
        <w:t xml:space="preserve">Ergebnis: </w:t>
      </w:r>
      <w:r>
        <w:t>Fieberhäufigkeit war mit mikrobiellem Entzündungsstatus und Flagellin-Expressionsprofilen assoziiert. Diät und Mikrobiom-Targeting könnten Impfnebenwirkungen reduzieren, ohne dass damit Impfeffektivität gefährdet wäre – nur lokale Immuntoleranz wird moduliert.</w:t>
      </w:r>
    </w:p>
    <w:p>
      <w:r>
        <w:rPr>
          <w:b/>
          <w:sz w:val="19"/>
        </w:rPr>
        <w:t xml:space="preserve">Übertragbarkeit: </w:t>
      </w:r>
      <w:r>
        <w:rPr>
          <w:sz w:val="19"/>
        </w:rPr>
        <w:t>Deutschland mit vergleichbarer Bevölkerungsstruktur; Befund zu Immunmechanismus ist universell übertragbar</w:t>
      </w:r>
    </w:p>
    <w:p>
      <w:r>
        <w:rPr>
          <w:color w:val="5A7D3A"/>
          <w:sz w:val="18"/>
        </w:rPr>
        <w:t>https://pubmed.ncbi.nlm.nih.gov/42848888/</w:t>
      </w:r>
    </w:p>
    <w:p>
      <w:pPr>
        <w:pStyle w:val="Heading2"/>
      </w:pPr>
      <w:r>
        <w:t>HPV-Impfbereitschaft hängt von Risikobewusstsein, Vertrauen und Informationsquellen ab</w:t>
      </w:r>
    </w:p>
    <w:p>
      <w:r>
        <w:rPr>
          <w:i/>
          <w:color w:val="666666"/>
          <w:sz w:val="18"/>
        </w:rPr>
        <w:t>Thomas Gil M et al.  ·  Hum Vaccin Immunother  ·  08.10.2026  ·  PMID 42847160</w:t>
      </w:r>
    </w:p>
    <w:p>
      <w:r>
        <w:t>Querschnittsumfrage unter indischen Studentinnen integrierte Konstrukte aus Health Belief Model, Protection Motivation Theory und 3Cs-Rahmen, um Determinanten der Impfbereitschaft und des Impfverhaltens zu untersuchen.</w:t>
      </w:r>
    </w:p>
    <w:p>
      <w:r>
        <w:rPr>
          <w:b/>
        </w:rPr>
        <w:t xml:space="preserve">Ergebnis: </w:t>
      </w:r>
      <w:r>
        <w:t>Wahrgenommene Schweregrad und Anfälligkeit sowie Impfvertrauen erhöhten Impfbereitschaft (+), Selbstzufriedenheit senkte sie (−). Impfbereitschaft mediierte signifikant die Effekte auf tatsächliches Impfverhalten. HPV-Impfempfehlungen und Informationsquellen hatten begrenzt verstärkende Moderatoren-Effekte.</w:t>
      </w:r>
    </w:p>
    <w:p>
      <w:r>
        <w:rPr>
          <w:b/>
          <w:sz w:val="19"/>
        </w:rPr>
        <w:t xml:space="preserve">Übertragbarkeit: </w:t>
      </w:r>
      <w:r>
        <w:rPr>
          <w:sz w:val="19"/>
        </w:rPr>
        <w:t>Indien; Einflussfaktoren auf Impfverhalten sind kulturübergreifend relevant, aber Interventionsdesign muss an deutsche Kontexte angepasst werden</w:t>
      </w:r>
    </w:p>
    <w:p>
      <w:r>
        <w:rPr>
          <w:color w:val="5A7D3A"/>
          <w:sz w:val="18"/>
        </w:rPr>
        <w:t>https://pubmed.ncbi.nlm.nih.gov/42847160/</w:t>
      </w:r>
    </w:p>
    <w:p>
      <w:pPr>
        <w:pStyle w:val="Heading2"/>
      </w:pPr>
      <w:r>
        <w:t>Impfung senkt COVID-19-Hospitalisierung bei Rheumapatienten deutlich</w:t>
      </w:r>
    </w:p>
    <w:p>
      <w:r>
        <w:rPr>
          <w:i/>
          <w:color w:val="666666"/>
          <w:sz w:val="18"/>
        </w:rPr>
        <w:t>Ak F et al.  ·  Front Public Health  ·  22.09.2026  ·  PMID 42840118</w:t>
      </w:r>
    </w:p>
    <w:p>
      <w:r>
        <w:t>Retrospektive Kohortenstudie von 1.024 Rheumapatienten (März 2020–Januar 2023): Assoziationen zwischen Krankheitssubtyp, Behandlung, Impfstatus und COVID-19-Infektions- sowie Hospitalisierungsrisiko untersucht.</w:t>
      </w:r>
    </w:p>
    <w:p>
      <w:r>
        <w:rPr>
          <w:b/>
        </w:rPr>
        <w:t xml:space="preserve">Ergebnis: </w:t>
      </w:r>
      <w:r>
        <w:t>Von 1.024 Patienten entwickelten 33,9% COVID-19; 92,3% der Nicht-Infizierten waren geimpft vs. 23,9% der Infizierten (p&lt;0,001). Hospitalisiert wurden 11,5% der COVID-19-Positiven; Prädiktoren: höheres Alter, Lungenbeteiligung, längere Krankheitsdauer. BNT162b2-Impfung war mit niedrigerem Hospitalisierungsrisiko assoziiert.</w:t>
      </w:r>
    </w:p>
    <w:p>
      <w:r>
        <w:rPr>
          <w:b/>
          <w:sz w:val="19"/>
        </w:rPr>
        <w:t xml:space="preserve">Übertragbarkeit: </w:t>
      </w:r>
      <w:r>
        <w:rPr>
          <w:sz w:val="19"/>
        </w:rPr>
        <w:t>Türkei mit westlichem Versicherungssystem; Befund zum Schutzeffekt durch Impfung bei Immunsuppression auf deutsche Rheumatologie direkt übertragbar</w:t>
      </w:r>
    </w:p>
    <w:p>
      <w:r>
        <w:rPr>
          <w:color w:val="5A7D3A"/>
          <w:sz w:val="18"/>
        </w:rPr>
        <w:t>https://pubmed.ncbi.nlm.nih.gov/42840118/</w:t>
      </w:r>
    </w:p>
    <w:p>
      <w:pPr>
        <w:pStyle w:val="Heading2"/>
      </w:pPr>
      <w:r>
        <w:t>Neues CAR-T-Zielprotein MPZL1 könnte Spektrum von Tumorarten erweitern</w:t>
      </w:r>
    </w:p>
    <w:p>
      <w:r>
        <w:rPr>
          <w:i/>
          <w:color w:val="666666"/>
          <w:sz w:val="18"/>
        </w:rPr>
        <w:t>Jiménez-Vázquez S et al.  ·  Nat Commun  ·  10.09.2026  ·  PMID 42722692</w:t>
      </w:r>
    </w:p>
    <w:p>
      <w:r>
        <w:t>Entwicklung und präklinische Testung von CAR-T-Zellen gegen MPZL1, ein Oberflächenprotein, das bei bis zu 75% bestimmter Tumortypen amplifiziert ist und kaum auf Normalgewebe vorkommt.</w:t>
      </w:r>
    </w:p>
    <w:p>
      <w:r>
        <w:rPr>
          <w:b/>
        </w:rPr>
        <w:t xml:space="preserve">Ergebnis: </w:t>
      </w:r>
      <w:r>
        <w:t>CAR-T-Zellen gegen MPZL1 zeigten In-vitro-Eliminationsaktivität und Antitumoraktivität in menschlichen Xenograft-, autochthonen Maus- und patientenabgeleiteten Modellen. Die Arbeiten liefern grundsätzlich einen neuen Zielansatz; klinische Überprüfung steht aus.</w:t>
      </w:r>
    </w:p>
    <w:p>
      <w:r>
        <w:rPr>
          <w:b/>
          <w:sz w:val="19"/>
        </w:rPr>
        <w:t xml:space="preserve">Übertragbarkeit: </w:t>
      </w:r>
      <w:r>
        <w:rPr>
          <w:sz w:val="19"/>
        </w:rPr>
        <w:t>Deutschland mit vergleichbarem Zelltherapie-Standard; Befund zu Targetidentifikation prinzipiell universell</w:t>
      </w:r>
    </w:p>
    <w:p>
      <w:r>
        <w:rPr>
          <w:color w:val="5A7D3A"/>
          <w:sz w:val="18"/>
        </w:rPr>
        <w:t>https://pubmed.ncbi.nlm.nih.gov/42722692/</w:t>
      </w:r>
    </w:p>
    <w:p>
      <w:pPr>
        <w:pStyle w:val="Heading2"/>
      </w:pPr>
      <w:r>
        <w:t>Dezentralisierte CAR-T-Herstellung könnte Zugangshürden in Europa senken</w:t>
      </w:r>
    </w:p>
    <w:p>
      <w:r>
        <w:rPr>
          <w:i/>
          <w:color w:val="666666"/>
          <w:sz w:val="18"/>
        </w:rPr>
        <w:t>Griebling D et al.  ·  Cytotherapy  ·  19.06.2026  ·  PMID 42696794</w:t>
      </w:r>
    </w:p>
    <w:p>
      <w:r>
        <w:t>Review des EASYGEN-Konsortiums zu Engpässen bei CAR-T-Therapie in Europa und Optionen für dezentralisierte Point-of-Care-Fertigung mit nichtviralen Gentransfer-Verfahren an mehreren Zentren.</w:t>
      </w:r>
    </w:p>
    <w:p>
      <w:r>
        <w:rPr>
          <w:b/>
        </w:rPr>
        <w:t xml:space="preserve">Ergebnis: </w:t>
      </w:r>
      <w:r>
        <w:t>Dezentralisierte Produktion und nichtvirale Gentransfer versprechen kürzere Vein-to-Vein-Zeiten, niedrigere Kosten und weniger Patienten-Verschlechterung während der Wartezeit. Konsortium schlägt vor: Standardisierung der Datenintegration und regulatorischer Rahmen für europäische Harmonisierung.</w:t>
      </w:r>
    </w:p>
    <w:p>
      <w:r>
        <w:rPr>
          <w:b/>
          <w:sz w:val="19"/>
        </w:rPr>
        <w:t xml:space="preserve">Übertragbarkeit: </w:t>
      </w:r>
      <w:r>
        <w:rPr>
          <w:sz w:val="19"/>
        </w:rPr>
        <w:t>Europäische Versorgungsarchitektur mit direktem Bezug zu Herstellungshürden in Deutschland und Nachbarländern</w:t>
      </w:r>
    </w:p>
    <w:p>
      <w:r>
        <w:rPr>
          <w:color w:val="5A7D3A"/>
          <w:sz w:val="18"/>
        </w:rPr>
        <w:t>https://pubmed.ncbi.nlm.nih.gov/42696794/</w:t>
      </w:r>
    </w:p>
    <w:p>
      <w:pPr>
        <w:pStyle w:val="Heading1"/>
      </w:pPr>
      <w:r>
        <w:t>Aufgenommen am 11.10.2026</w:t>
      </w:r>
    </w:p>
    <w:p>
      <w:pPr>
        <w:pStyle w:val="Heading2"/>
      </w:pPr>
      <w:r>
        <w:t>Impfbereitschaft bei europäischen Gesundheitsstudierenden: nur ein Drittel willig</w:t>
      </w:r>
    </w:p>
    <w:p>
      <w:r>
        <w:rPr>
          <w:i/>
          <w:color w:val="666666"/>
          <w:sz w:val="18"/>
        </w:rPr>
        <w:t>Yiallouris A et al.  ·  JMIR Public Health Surveill  ·  09.10.2026  ·  PMID 42854231</w:t>
      </w:r>
    </w:p>
    <w:p>
      <w:r>
        <w:t>Querschnittsbefragung von 1.192 europäischen Studierenden der Medizin, Zahnmedizin, Pflege, Pharmazie und verwandter Gesundheitsberufe zur Bereitschaft, an zukünftigen Impfstoffstudien teilzunehmen.</w:t>
      </w:r>
    </w:p>
    <w:p>
      <w:r>
        <w:rPr>
          <w:b/>
        </w:rPr>
        <w:t xml:space="preserve">Ergebnis: </w:t>
      </w:r>
      <w:r>
        <w:t>32,9 % zeigten Teilnahmebereitschaft, 38,8 % waren unentschlossen, 28,3 % unwillig. Hauptbarrieren: Angst vor Nebenwirkungen (74,6 %), Bedenken als "Versuchsperson" zu dienen (35,9 %). Motivatoren: transparente Sicherheitskommunikation, Verständnis von Risiken, persönliche Schutzgarantien.</w:t>
      </w:r>
    </w:p>
    <w:p>
      <w:r>
        <w:rPr>
          <w:b/>
          <w:sz w:val="19"/>
        </w:rPr>
        <w:t xml:space="preserve">Übertragbarkeit: </w:t>
      </w:r>
      <w:r>
        <w:rPr>
          <w:sz w:val="19"/>
        </w:rPr>
        <w:t>Europäische Verbundstudie, Transfer auf Rekrutierungsstrategien für Impfstudien in DACH begrenzt.</w:t>
      </w:r>
    </w:p>
    <w:p>
      <w:r>
        <w:rPr>
          <w:color w:val="5A7D3A"/>
          <w:sz w:val="18"/>
        </w:rPr>
        <w:t>https://pubmed.ncbi.nlm.nih.gov/42854231/</w:t>
      </w:r>
    </w:p>
    <w:p>
      <w:pPr>
        <w:pStyle w:val="Heading2"/>
      </w:pPr>
      <w:r>
        <w:t>HPV-Impfquoten in den USA: Schuleingangsanforderungen und Fachkompetenz essentiell</w:t>
      </w:r>
    </w:p>
    <w:p>
      <w:r>
        <w:rPr>
          <w:i/>
          <w:color w:val="666666"/>
          <w:sz w:val="18"/>
        </w:rPr>
        <w:t>Escabí-Wojna E et al.  ·  Front Public Health  ·  24.09.2026  ·  PMID 42851744</w:t>
      </w:r>
    </w:p>
    <w:p>
      <w:r>
        <w:t>Explorative qualitative Studie mit 9 Schlüsselpersonen aus 6 US-Bundesstaaten und -Bezirken zur Förderung der HPV-Impfung nach COVID-19.</w:t>
      </w:r>
    </w:p>
    <w:p>
      <w:r>
        <w:rPr>
          <w:b/>
        </w:rPr>
        <w:t xml:space="preserve">Ergebnis: </w:t>
      </w:r>
      <w:r>
        <w:t>Zentrale Erfolgsfaktoren identifiziert: Aufklärung der Impfanbieter, Schuleingangsanforderungen, Krebsprävention-Messaging, vertrauenswürdige Informanten, kultursensitive Ansprache, Sektorübergreifende Partnerschaften. Barrieren: Impfmissinformation, gestiegene Hesitancy post-COVID, regionale Unterschiede in Regelwerk.</w:t>
      </w:r>
    </w:p>
    <w:p>
      <w:r>
        <w:rPr>
          <w:b/>
          <w:sz w:val="19"/>
        </w:rPr>
        <w:t xml:space="preserve">Übertragbarkeit: </w:t>
      </w:r>
      <w:r>
        <w:rPr>
          <w:sz w:val="19"/>
        </w:rPr>
        <w:t>USA - Regelwerk und Zugangsstrukturen unterscheiden sich; Kommunikationsprinzipien übertragbar.</w:t>
      </w:r>
    </w:p>
    <w:p>
      <w:r>
        <w:rPr>
          <w:color w:val="5A7D3A"/>
          <w:sz w:val="18"/>
        </w:rPr>
        <w:t>https://pubmed.ncbi.nlm.nih.gov/42851744/</w:t>
      </w:r>
    </w:p>
    <w:p>
      <w:pPr>
        <w:pStyle w:val="Heading2"/>
      </w:pPr>
      <w:r>
        <w:t>Immunlücken bei Masern und Röteln: junge Frauen in China gefährdet</w:t>
      </w:r>
    </w:p>
    <w:p>
      <w:r>
        <w:rPr>
          <w:i/>
          <w:color w:val="666666"/>
          <w:sz w:val="18"/>
        </w:rPr>
        <w:t>Sun X et al.  ·  Front Immunol  ·  24.09.2026  ·  PMID 42851700</w:t>
      </w:r>
    </w:p>
    <w:p>
      <w:r>
        <w:t>Querschnittsseroepidemiologische Studie bei 1.196 schwangeren Frauen in der Provinz Jiangsu (China) zur Röteln-Immunität nach Impfung.</w:t>
      </w:r>
    </w:p>
    <w:p>
      <w:r>
        <w:rPr>
          <w:b/>
        </w:rPr>
        <w:t xml:space="preserve">Ergebnis: </w:t>
      </w:r>
      <w:r>
        <w:t>Gesamt-Seroprävalenz Röteln-IgG: 61,45 % (geometrisches Mittel 24,21 IE/mL). Seroprävalenz stieg mit Alter: 37,77 % bei ≤24 Jahren auf ~75 % bei ≥30 Jahren. Jüngere Geburtskohorten zeigten deutlich niedrigere Seroprävalenz und Antikörper, trotz anhaltend hoher RCV-Impfquoten. Maternal age war unabhängig mit Immunität assoziiert.</w:t>
      </w:r>
    </w:p>
    <w:p>
      <w:r>
        <w:rPr>
          <w:b/>
          <w:sz w:val="19"/>
        </w:rPr>
        <w:t xml:space="preserve">Übertragbarkeit: </w:t>
      </w:r>
      <w:r>
        <w:rPr>
          <w:sz w:val="19"/>
        </w:rPr>
        <w:t>China - Daten zeigen, dass auch bei etablierten Impfprogrammen Kohorten-Lücken entstehen; international relevantes Muster.</w:t>
      </w:r>
    </w:p>
    <w:p>
      <w:r>
        <w:rPr>
          <w:color w:val="5A7D3A"/>
          <w:sz w:val="18"/>
        </w:rPr>
        <w:t>https://pubmed.ncbi.nlm.nih.gov/42851700/</w:t>
      </w:r>
    </w:p>
    <w:p>
      <w:pPr>
        <w:pStyle w:val="Heading2"/>
      </w:pPr>
      <w:r>
        <w:t>Impfquoten gegen Atemwegsinfektionen bei Älteren bleiben deutlich unter Ziel</w:t>
      </w:r>
    </w:p>
    <w:p>
      <w:r>
        <w:rPr>
          <w:i/>
          <w:color w:val="666666"/>
          <w:sz w:val="18"/>
        </w:rPr>
        <w:t>Paccalin M et al.  ·  Geriatr Psychol Neuropsychiatr Vieil  ·  01.09.2026  ·  PMID 42842819</w:t>
      </w:r>
    </w:p>
    <w:p>
      <w:r>
        <w:t>Narrativer Review zu Epidemiologie, Effektivität und Empfehlungen für COVID-19-, RSV-, Influenza- und Pneumokokken-Impfungen bei älteren Menschen in Frankreich 2026.</w:t>
      </w:r>
    </w:p>
    <w:p>
      <w:r>
        <w:rPr>
          <w:b/>
        </w:rPr>
        <w:t xml:space="preserve">Ergebnis: </w:t>
      </w:r>
      <w:r>
        <w:t>Sichere und wirksame Impfstoffe für alle vier Infektionen verfügbar, aber Impfquoten bei Älteren und besonders bei Gesundheitspersonal deutlich unter Zielwert; post-COVID-Hesitancy gestiegen. Empfehlung: verbesserte Information und Aufklärung für Öffentlichkeit und Fachpersonal als wirksamste Strategie.</w:t>
      </w:r>
    </w:p>
    <w:p>
      <w:r>
        <w:rPr>
          <w:b/>
          <w:sz w:val="19"/>
        </w:rPr>
        <w:t xml:space="preserve">Übertragbarkeit: </w:t>
      </w:r>
      <w:r>
        <w:rPr>
          <w:sz w:val="19"/>
        </w:rPr>
        <w:t>Frankreich, vergleichbares Sozialversicherungssystem mit Deutschland.</w:t>
      </w:r>
    </w:p>
    <w:p>
      <w:r>
        <w:rPr>
          <w:color w:val="5A7D3A"/>
          <w:sz w:val="18"/>
        </w:rPr>
        <w:t>https://pubmed.ncbi.nlm.nih.gov/42842819/</w:t>
      </w:r>
    </w:p>
    <w:p>
      <w:pPr>
        <w:pStyle w:val="Heading2"/>
      </w:pPr>
      <w:r>
        <w:t>SARS-CoV-2-Impfung nach allogener Stammzelltransplantation: verzögerte Immunantwort, aber gut verträglich</w:t>
      </w:r>
    </w:p>
    <w:p>
      <w:r>
        <w:rPr>
          <w:i/>
          <w:color w:val="666666"/>
          <w:sz w:val="18"/>
        </w:rPr>
        <w:t>Crodel CC et al.  ·  J Cancer Res Clin Oncol  ·  01.10.2026  ·  PMID 42828557</w:t>
      </w:r>
    </w:p>
    <w:p>
      <w:r>
        <w:t>Retrospektive Kohortenstudie von 114 Patienten nach allogener hämatopoetischer Stammzelltransplantation (alloHSCT) zur Immunogenität und Sicherheit der SARS-CoV-2-Impfung.</w:t>
      </w:r>
    </w:p>
    <w:p>
      <w:r>
        <w:rPr>
          <w:b/>
        </w:rPr>
        <w:t xml:space="preserve">Ergebnis: </w:t>
      </w:r>
      <w:r>
        <w:t>89,4 % waren mindestens zweifach geimpft, 66,7 % dreifach. Nach 2. Dosis erreichten 81,8 % anti-Spike-IgG-Seropositivität, nach 3. Dosis 96,1 %. Patienten geimpft &lt;24 Monate nach alloHSCT hatten signifikant niedrigere IgG-Titer (p=0,017). Häufigste Nebenwirkungen: Armschmerz (34 %), Schwellung (14 %), Gliederschmerzen (17 %). Timing der Impfung beeinflusst Immunantwort.</w:t>
      </w:r>
    </w:p>
    <w:p>
      <w:r>
        <w:rPr>
          <w:b/>
          <w:sz w:val="19"/>
        </w:rPr>
        <w:t xml:space="preserve">Übertragbarkeit: </w:t>
      </w:r>
      <w:r>
        <w:rPr>
          <w:sz w:val="19"/>
        </w:rPr>
        <w:t>Deutsche Klinikdaten, Impfung von Hochrisikopatienten in Regeldokumenten häufig.</w:t>
      </w:r>
    </w:p>
    <w:p>
      <w:r>
        <w:rPr>
          <w:color w:val="5A7D3A"/>
          <w:sz w:val="18"/>
        </w:rPr>
        <w:t>https://pubmed.ncbi.nlm.nih.gov/42828557/</w:t>
      </w:r>
    </w:p>
    <w:p>
      <w:pPr>
        <w:pStyle w:val="Heading2"/>
      </w:pPr>
      <w:r>
        <w:t>Abwasser-Antikörper spiegeln Bevölkerungsimmunität gegen SARS-CoV-2 wider</w:t>
      </w:r>
    </w:p>
    <w:p>
      <w:r>
        <w:rPr>
          <w:i/>
          <w:color w:val="666666"/>
          <w:sz w:val="18"/>
        </w:rPr>
        <w:t>Wannigama DL et al.  ·  Water Res  ·  01.11.2026  ·  PMID 42542021</w:t>
      </w:r>
    </w:p>
    <w:p>
      <w:r>
        <w:t>Longitudinale Kohortenstudie über 3 Jahre (2020–2022) in urbanen und ländlichen Communities in Thailand (ca. 18 Mio. Menschen) zur Messung von Infektions- und Impfintensität via Abwasser.</w:t>
      </w:r>
    </w:p>
    <w:p>
      <w:r>
        <w:rPr>
          <w:b/>
        </w:rPr>
        <w:t xml:space="preserve">Ergebnis: </w:t>
      </w:r>
      <w:r>
        <w:t>Viral RNA zeigte schnellen Anstieg und Rückgang nach Symptombeginn; anti-SARS-CoV-2-IgG verzögert (Peak ~50 Tage), Persistenz mehrere Monate. Nach Impfstart und Infektionswellen konvergierten RNA- und Antikörper-Inzidenzschätzungen, besonders in hochgeimpften urbanen Gebieten. Abwasser-Antikörper korrelierten mit Impfquoten (verzögerter zeitlicher Zusammenhang), schwächer mit Mortalität. Modell ermöglicht parallele Erfassung von Infektionslast und Bevölkerungsimmunität.</w:t>
      </w:r>
    </w:p>
    <w:p>
      <w:r>
        <w:rPr>
          <w:b/>
          <w:sz w:val="19"/>
        </w:rPr>
        <w:t xml:space="preserve">Übertragbarkeit: </w:t>
      </w:r>
      <w:r>
        <w:rPr>
          <w:sz w:val="19"/>
        </w:rPr>
        <w:t>Thailand - Methodisch innovativ für Populationsüberwachung; deutsche Gesundheitsämter könnten Abwasser-Surveillance für Impfquoten-Monitoring nutzen.</w:t>
      </w:r>
    </w:p>
    <w:p>
      <w:r>
        <w:rPr>
          <w:color w:val="5A7D3A"/>
          <w:sz w:val="18"/>
        </w:rPr>
        <w:t>https://pubmed.ncbi.nlm.nih.gov/42542021/</w:t>
      </w:r>
    </w:p>
    <w:p>
      <w:pPr>
        <w:pStyle w:val="Heading1"/>
      </w:pPr>
      <w:r>
        <w:t>Aufgenommen am 10.10.2026</w:t>
      </w:r>
    </w:p>
    <w:p>
      <w:pPr>
        <w:pStyle w:val="Heading2"/>
      </w:pPr>
      <w:r>
        <w:t>COVID-19-Impfstoffe zeigen über alle Bevölkerungsgruppen hinweg vergleichbares Sicherheitsprofil</w:t>
      </w:r>
    </w:p>
    <w:p>
      <w:r>
        <w:rPr>
          <w:i/>
          <w:color w:val="666666"/>
          <w:sz w:val="18"/>
        </w:rPr>
        <w:t>Alidema F et al.  ·  Cent Eur J Public Health  ·  Sept. 2026  ·  PMID 42853050</w:t>
      </w:r>
    </w:p>
    <w:p>
      <w:r>
        <w:t>Retrospektive Kohortenstudie an 1.000 Personen im Kosovo (600 mit chronischen Erkrankungen, 400 ohne) zur Verträglichkeit nach drei COVID-19-Impfdosen.</w:t>
      </w:r>
    </w:p>
    <w:p>
      <w:r>
        <w:rPr>
          <w:b/>
        </w:rPr>
        <w:t xml:space="preserve">Ergebnis: </w:t>
      </w:r>
      <w:r>
        <w:t>68,5 % berichteten mindestens eine Nebenwirkung, höher bei chronischen Erkrankungen (74,3 %) vs. ohne (59,7 %; p = 0,01). Häufigste Reaktionen waren leicht und vorübergehend: Injektionsstelle-Schmerz (39,2 %), Fatigue (27,6 %), Kopfschmerz (21,4 %), leichtes Fieber (18,9 %). Schwerwiegende Ereignisse wie allergische oder kardiale Reaktionen waren selten (1,2 %). Keine signifikanten Unterschiede zwischen Impfstofftypen.</w:t>
      </w:r>
    </w:p>
    <w:p>
      <w:r>
        <w:rPr>
          <w:b/>
          <w:sz w:val="19"/>
        </w:rPr>
        <w:t xml:space="preserve">Übertragbarkeit: </w:t>
      </w:r>
      <w:r>
        <w:rPr>
          <w:sz w:val="19"/>
        </w:rPr>
        <w:t>Kosovo, aber Nebenwirkungsprofil international belastbar</w:t>
      </w:r>
    </w:p>
    <w:p>
      <w:r>
        <w:rPr>
          <w:color w:val="5A7D3A"/>
          <w:sz w:val="18"/>
        </w:rPr>
        <w:t>https://pubmed.ncbi.nlm.nih.gov/42853050/</w:t>
      </w:r>
    </w:p>
    <w:p>
      <w:pPr>
        <w:pStyle w:val="Heading2"/>
      </w:pPr>
      <w:r>
        <w:t>Ärztliche Empfehlung erhöht Influenzaimpfung bei Schwangeren um das Zehnfache</w:t>
      </w:r>
    </w:p>
    <w:p>
      <w:r>
        <w:rPr>
          <w:i/>
          <w:color w:val="666666"/>
          <w:sz w:val="18"/>
        </w:rPr>
        <w:t>Uzun A et al.  ·  Cent Eur J Public Health  ·  11.09.2026  ·  PMID 42853049</w:t>
      </w:r>
    </w:p>
    <w:p>
      <w:r>
        <w:t>Prospektive Beobachtungsstudie an 356 schwangeren Frauen in der Türkei zur Frage, ob eine ärztliche Impfempfehlung die Inanspruchnahme von Influenzaimpfstoff beeinflusst.</w:t>
      </w:r>
    </w:p>
    <w:p>
      <w:r>
        <w:rPr>
          <w:b/>
        </w:rPr>
        <w:t xml:space="preserve">Ergebnis: </w:t>
      </w:r>
      <w:r>
        <w:t>Gesamtquote der Influenzaimpfung in der Schwangerschaft 7,6 %. Bei ärztlicher Empfehlung stieg die Quote auf 15,2 % gegenüber 1,5 % ohne Empfehlung (RR 10,0; 95%-KI 3,07–32,69; p &lt; 0,001). In multivariater Analyse blieb die ärztliche Empfehlung unabhängiger Prädiktor (aOR 10,39; 95%-KI 3,00–35,97; p &lt; 0,001). Häufigste Ablehnungsgründe: mangelndes Vertrauen (42,2 %) und wahrgenommene Unnötigkeit (36,2 %).</w:t>
      </w:r>
    </w:p>
    <w:p>
      <w:r>
        <w:rPr>
          <w:b/>
          <w:sz w:val="19"/>
        </w:rPr>
        <w:t xml:space="preserve">Übertragbarkeit: </w:t>
      </w:r>
      <w:r>
        <w:rPr>
          <w:sz w:val="19"/>
        </w:rPr>
        <w:t>Türkei, aber Befund zu Arzt-Patient-Kommunikation international übertragbar</w:t>
      </w:r>
    </w:p>
    <w:p>
      <w:r>
        <w:rPr>
          <w:color w:val="5A7D3A"/>
          <w:sz w:val="18"/>
        </w:rPr>
        <w:t>https://pubmed.ncbi.nlm.nih.gov/42853049/</w:t>
      </w:r>
    </w:p>
    <w:p>
      <w:pPr>
        <w:pStyle w:val="Heading2"/>
      </w:pPr>
      <w:r>
        <w:t>HPV-Impfung ab 27 Jahren: wer profitiert, wann anbieten, wie beraten</w:t>
      </w:r>
    </w:p>
    <w:p>
      <w:r>
        <w:rPr>
          <w:i/>
          <w:color w:val="666666"/>
          <w:sz w:val="18"/>
        </w:rPr>
        <w:t>Broul M et al.  ·  Cent Eur J Public Health  ·  Sept. 2026  ·  PMID 42853048</w:t>
      </w:r>
    </w:p>
    <w:p>
      <w:r>
        <w:t>Narrative Übersichtsarbeit, die internationale Leitlinien der WHO, ECDC und USA zur HPV-Impfung im Alter 27–45 Jahre in praktische Beratungsempfehlungen für Kliniker übersetzen möchte.</w:t>
      </w:r>
    </w:p>
    <w:p>
      <w:r>
        <w:rPr>
          <w:b/>
        </w:rPr>
        <w:t xml:space="preserve">Ergebnis: </w:t>
      </w:r>
      <w:r>
        <w:t>Globale und europäische Leitlinien betonen Nutzen von hoher Abdeckung vor Sexualdebüt und unterstützen keine Routineprogramme für Erwachsene. Im Gegensatz dazu empfehlen USA gemeinsame klinische Entscheidungsfindung für 27–45-Jährige, da manche — insbesondere nicht ausreichend Geimpfte, solche mit neuen Partnerschaften oder in Hochexpositions-Netzwerken (z. B. MSM) oder Immunsupprimierte — persönlichen Nutzen erhalten könnten. Impfwirksamkeit höchst bei Personen ohne vorherige Exposition gegenüber Impfstoff-HPV-Typen. Nach Zervixkonisation Evidenz gemischt.</w:t>
      </w:r>
    </w:p>
    <w:p>
      <w:r>
        <w:rPr>
          <w:b/>
          <w:sz w:val="19"/>
        </w:rPr>
        <w:t xml:space="preserve">Übertragbarkeit: </w:t>
      </w:r>
      <w:r>
        <w:rPr>
          <w:sz w:val="19"/>
        </w:rPr>
        <w:t>ECDC/Europa und USA, Beratungsrahmen auf deutsches System übertragbar</w:t>
      </w:r>
    </w:p>
    <w:p>
      <w:r>
        <w:rPr>
          <w:color w:val="5A7D3A"/>
          <w:sz w:val="18"/>
        </w:rPr>
        <w:t>https://pubmed.ncbi.nlm.nih.gov/42853048/</w:t>
      </w:r>
    </w:p>
    <w:p>
      <w:pPr>
        <w:pStyle w:val="Heading2"/>
      </w:pPr>
      <w:r>
        <w:t>Influenzaimpfstoff-Wirksamkeit 2024/2025 in China: moderate Schutzquote mit Kontaktmuster-Assoziation</w:t>
      </w:r>
    </w:p>
    <w:p>
      <w:r>
        <w:rPr>
          <w:i/>
          <w:color w:val="666666"/>
          <w:sz w:val="18"/>
        </w:rPr>
        <w:t>Chen L et al.  ·  J Glob Health  ·  09.10.2026  ·  PMID 42852605</w:t>
      </w:r>
    </w:p>
    <w:p>
      <w:r>
        <w:t>Test-Negativ-Fall-Kontroll-Studie an 928 ambulanten Patienten mit Infektionszeichen der oberen Atemwege an drei Sentinelkliniken in Xinjiang (Dezember 2024 bis März 2025).</w:t>
      </w:r>
    </w:p>
    <w:p>
      <w:r>
        <w:rPr>
          <w:b/>
        </w:rPr>
        <w:t xml:space="preserve">Ergebnis: </w:t>
      </w:r>
      <w:r>
        <w:t>921 Patienten eingeschlossen (121 influenzapositiv, 786 negativ). Gesamte angepasste Impfeffektivität gegen medizinisch betreute Influenza 42,3 % (95%-GI 11,1–62,5). Kinder (0–10 Jahre) und ältere Erwachsene (≥ 65 Jahre) mit positivem Test berichteten häufigere und längere soziale Kontakte als Negativ-Getestete. Sekvenzbefunde an 6 Proben deuteten auf keine größere Antigendiskrepanz mit Impfstoffstämmen.</w:t>
      </w:r>
    </w:p>
    <w:p>
      <w:r>
        <w:rPr>
          <w:b/>
          <w:sz w:val="19"/>
        </w:rPr>
        <w:t xml:space="preserve">Übertragbarkeit: </w:t>
      </w:r>
      <w:r>
        <w:rPr>
          <w:sz w:val="19"/>
        </w:rPr>
        <w:t>China, aber Wirksamkeitsendpunkt und Kontaktmuster international relevant</w:t>
      </w:r>
    </w:p>
    <w:p>
      <w:r>
        <w:rPr>
          <w:color w:val="5A7D3A"/>
          <w:sz w:val="18"/>
        </w:rPr>
        <w:t>https://pubmed.ncbi.nlm.nih.gov/42852605/</w:t>
      </w:r>
    </w:p>
    <w:p>
      <w:pPr>
        <w:pStyle w:val="Heading2"/>
      </w:pPr>
      <w:r>
        <w:t>COVID-19-Pandemie senkte Kinderimpfquoten in den Niederlanden anhaltend</w:t>
      </w:r>
    </w:p>
    <w:p>
      <w:r>
        <w:rPr>
          <w:i/>
          <w:color w:val="666666"/>
          <w:sz w:val="18"/>
        </w:rPr>
        <w:t>Pijpers J et al.  ·  Euro Surveill  ·  Okt. 2026  ·  PMID 42852520</w:t>
      </w:r>
    </w:p>
    <w:p>
      <w:r>
        <w:t>Niederländische Registeranalyse aller 2016–2024 geborenen Kinder zur Auswirkung von COVID-19 auf die Inanspruchnahme der Erstimpfung gegen Diphtherie, Tetanus, Pertussis und Poliomyelitis (DTaP-IPV) bis zum 6. Lebensmonat.</w:t>
      </w:r>
    </w:p>
    <w:p>
      <w:r>
        <w:rPr>
          <w:b/>
        </w:rPr>
        <w:t xml:space="preserve">Ergebnis: </w:t>
      </w:r>
      <w:r>
        <w:t>Unterbrochene Zeitreihenanalyse zeigte signifikante Abfälle bei Pandemiebeginn und -ende sowie fortlaufenden Rückgang während der Pandemie (OR 0,984; 95%-KI 0,981–0,986). In der Matched-Sibling-Analyse hatten Kinder, die während der Pandemie oder danach geimpft werden konnten, niedrigere Chancen als ihre vor der Pandemie geborenen Geschwister (Pandemie: OR 0,66, 95%-KI 0,55–0,80; nach Pandemie: OR 0,20, 95%-KI 0,17–0,25). Die Impfquoten erholten sich auch nach Ende der Pandemie nicht.</w:t>
      </w:r>
    </w:p>
    <w:p>
      <w:r>
        <w:rPr>
          <w:b/>
          <w:sz w:val="19"/>
        </w:rPr>
        <w:t xml:space="preserve">Übertragbarkeit: </w:t>
      </w:r>
      <w:r>
        <w:rPr>
          <w:sz w:val="19"/>
        </w:rPr>
        <w:t>Niederlande mit Impfregister und vergleichbarem Versicherungssystem</w:t>
      </w:r>
    </w:p>
    <w:p>
      <w:r>
        <w:rPr>
          <w:color w:val="5A7D3A"/>
          <w:sz w:val="18"/>
        </w:rPr>
        <w:t>https://pubmed.ncbi.nlm.nih.gov/42852520/</w:t>
      </w:r>
    </w:p>
    <w:p>
      <w:pPr>
        <w:pStyle w:val="Heading2"/>
      </w:pPr>
      <w:r>
        <w:t>Bildungsstand bestimmt COVID-19-Impfquote bei Schwangeren in Polen</w:t>
      </w:r>
    </w:p>
    <w:p>
      <w:r>
        <w:rPr>
          <w:i/>
          <w:color w:val="666666"/>
          <w:sz w:val="18"/>
        </w:rPr>
        <w:t>Hinca KM et al.  ·  Front Public Health  ·  24.09.2026  ·  PMID 42851628</w:t>
      </w:r>
    </w:p>
    <w:p>
      <w:r>
        <w:t>Querschnittstudie mit 675 schwangeren Frauen, die zwischen November 2021 und Februar 2022 im Kreißsaal aufgenommen wurden, zu Faktoren der COVID-19-Impfbereitschaft in der Gravidität.</w:t>
      </w:r>
    </w:p>
    <w:p>
      <w:r>
        <w:rPr>
          <w:b/>
        </w:rPr>
        <w:t xml:space="preserve">Ergebnis: </w:t>
      </w:r>
      <w:r>
        <w:t>Über 50 % der Befragten waren gegen COVID-19 in der Schwangerschaft geimpft. Niedrigere Schulbildung war konsistent mit niedrigerer Impfwahrscheinlichkeit assoziiert. Höheres Alter und Wohnort in Großstadt waren mit höherer Impfquote verknüpft. Geburtshilfliche Vorgeschichte zeigte keine signifikante Assoziation. Demografische Ungleichheit bei der Impfannahme bildete sich deutlich ab.</w:t>
      </w:r>
    </w:p>
    <w:p>
      <w:r>
        <w:rPr>
          <w:b/>
          <w:sz w:val="19"/>
        </w:rPr>
        <w:t xml:space="preserve">Übertragbarkeit: </w:t>
      </w:r>
      <w:r>
        <w:rPr>
          <w:sz w:val="19"/>
        </w:rPr>
        <w:t>Polen, vergleichbares europäisches Gesundheitssystem</w:t>
      </w:r>
    </w:p>
    <w:p>
      <w:r>
        <w:rPr>
          <w:color w:val="5A7D3A"/>
          <w:sz w:val="18"/>
        </w:rPr>
        <w:t>https://pubmed.ncbi.nlm.nih.gov/42851628/</w:t>
      </w:r>
    </w:p>
    <w:p>
      <w:pPr>
        <w:pStyle w:val="Heading1"/>
      </w:pPr>
      <w:r>
        <w:t>Aufgenommen am 09.10.2026</w:t>
      </w:r>
    </w:p>
    <w:p>
      <w:pPr>
        <w:pStyle w:val="Heading2"/>
      </w:pPr>
      <w:r>
        <w:t>Impfprice und Botschaftsrahmen beeinflussen Impfbereitschaft gegen Influenza in China</w:t>
      </w:r>
    </w:p>
    <w:p>
      <w:r>
        <w:rPr>
          <w:i/>
          <w:color w:val="666666"/>
          <w:sz w:val="18"/>
        </w:rPr>
        <w:t>Chu Y et al.  ·  Hum Vaccin Immunother  ·  31.12.2026  ·  PMID 42850200</w:t>
      </w:r>
    </w:p>
    <w:p>
      <w:r>
        <w:t>Experimentelle Studie mit 1.408 chinesischen Studierenden zur Wirkung von Preis, Nachrichtenframing (Gewinn vs. Verlust) und Werteorientierung (individualistisch vs. kollektivistisch) auf Bereitschaft zur Grippeimpfung.</w:t>
      </w:r>
    </w:p>
    <w:p>
      <w:r>
        <w:rPr>
          <w:b/>
        </w:rPr>
        <w:t xml:space="preserve">Ergebnis: </w:t>
      </w:r>
      <w:r>
        <w:t>Impfbereitschaft sank mit steigendem Preis signifikant. Bei kostenloser Impfung: keine signifikanten Unterschiede zwischen Botschaftstypen. Bei Bezahlung: Verlust-gerahmt und individualistisch-orientiert Botschaften wirksamer; individualistisch-Verlust-Botschaft zeigte stärksten Effekt. Perceived severity und vaccine effectiveness vermittelten den Effekt.</w:t>
      </w:r>
    </w:p>
    <w:p>
      <w:r>
        <w:rPr>
          <w:b/>
          <w:sz w:val="19"/>
        </w:rPr>
        <w:t xml:space="preserve">Übertragbarkeit: </w:t>
      </w:r>
      <w:r>
        <w:rPr>
          <w:sz w:val="19"/>
        </w:rPr>
        <w:t>China – Befragungsstudie; kulturelle Besonderheiten, begrenzte Übertragbarkeit auf Deutschland</w:t>
      </w:r>
    </w:p>
    <w:p>
      <w:r>
        <w:rPr>
          <w:color w:val="5A7D3A"/>
          <w:sz w:val="18"/>
        </w:rPr>
        <w:t>https://pubmed.ncbi.nlm.nih.gov/42850200/</w:t>
      </w:r>
    </w:p>
    <w:p>
      <w:pPr>
        <w:pStyle w:val="Heading2"/>
      </w:pPr>
      <w:r>
        <w:t>Pneumokokkenimpfung in Südafrika: Kosteneffektivität PCV20 vs. PPSV23 bei HIV-Risikogruppen</w:t>
      </w:r>
    </w:p>
    <w:p>
      <w:r>
        <w:rPr>
          <w:i/>
          <w:color w:val="666666"/>
          <w:sz w:val="18"/>
        </w:rPr>
        <w:t>Wang WW et al.  ·  Hum Vaccin Immunother  ·  08.10.2026  ·  PMID 42849061</w:t>
      </w:r>
    </w:p>
    <w:p>
      <w:r>
        <w:t>Statische Entscheidungsbaummodellierung aus Perspektive südafrikanischer Gesundheitskassen zur Kosteneffektivität von PCV20 vs. PPSV23 bei über 65-Jährigen, mit HIV-Stratifizierung.</w:t>
      </w:r>
    </w:p>
    <w:p>
      <w:r>
        <w:rPr>
          <w:b/>
        </w:rPr>
        <w:t xml:space="preserve">Ergebnis: </w:t>
      </w:r>
      <w:r>
        <w:t>Bei Allgemeinbevölkerung ≥65 Jahre: PCV20 mehr Gesundheitsnutzen, aber ICER 17.323 USD/QALY (nicht kosteneffektiv zu aktuellen Preisen). Bei älteren Erwachsenen mit HIV: ICER 2.104 USD/QALY (kosteneffektiv). Kosten Haupttreiber; zielgerichtete Impfung von HIV+ Älteren effizienter als universale Strategie.</w:t>
      </w:r>
    </w:p>
    <w:p>
      <w:r>
        <w:rPr>
          <w:b/>
          <w:sz w:val="19"/>
        </w:rPr>
        <w:t xml:space="preserve">Übertragbarkeit: </w:t>
      </w:r>
      <w:r>
        <w:rPr>
          <w:sz w:val="19"/>
        </w:rPr>
        <w:t>Südafrika – Modellstudie; HIV-Prävalenz und Ressourcenlimitierungen nicht auf Deutschland übertragbar</w:t>
      </w:r>
    </w:p>
    <w:p>
      <w:r>
        <w:rPr>
          <w:color w:val="5A7D3A"/>
          <w:sz w:val="18"/>
        </w:rPr>
        <w:t>https://pubmed.ncbi.nlm.nih.gov/42849061/</w:t>
      </w:r>
    </w:p>
    <w:p>
      <w:pPr>
        <w:pStyle w:val="Heading2"/>
      </w:pPr>
      <w:r>
        <w:t>Interventionen gegen Impfskepsis im Kindes- und Jugendalter 2012–2023: Integrative Übersicht</w:t>
      </w:r>
    </w:p>
    <w:p>
      <w:r>
        <w:rPr>
          <w:i/>
          <w:color w:val="666666"/>
          <w:sz w:val="18"/>
        </w:rPr>
        <w:t>Rocha FMD et al.  ·  Cien Saude Colet  ·  05.10.2026  ·  PMID 42848635</w:t>
      </w:r>
    </w:p>
    <w:p>
      <w:r>
        <w:t>Integrative Literaturübersicht über 45 Interventionsstudien zur Minderung von Vaccine Hesitancy bei Kinder- und Jugendimpfungen über 12 Jahre, systematisiert nach Methodik, Zielgruppe, Impfstoff und Evidenzlevel.</w:t>
      </w:r>
    </w:p>
    <w:p>
      <w:r>
        <w:rPr>
          <w:b/>
        </w:rPr>
        <w:t xml:space="preserve">Ergebnis: </w:t>
      </w:r>
      <w:r>
        <w:t>Mehrheit 2021–2023 veröffentlicht; quantitativ dominierend; Zielgruppe meist Eltern/Betreuer; häufigste Intervention: digitale Bildungsinhalte. Konvergenz mit Cs-Modell (Confidence, Complacency, Convenience). Interventionen können Strategien gegen Vaccine Hesitancy und evidenzgestützte Politiken informieren.</w:t>
      </w:r>
    </w:p>
    <w:p>
      <w:r>
        <w:rPr>
          <w:b/>
          <w:sz w:val="19"/>
        </w:rPr>
        <w:t xml:space="preserve">Übertragbarkeit: </w:t>
      </w:r>
      <w:r>
        <w:rPr>
          <w:sz w:val="19"/>
        </w:rPr>
        <w:t>Brasilien/Portugiesischsprachig – narrative Übersichtsarbeit ohne quantitativ beschriebene Erfolgsraten</w:t>
      </w:r>
    </w:p>
    <w:p>
      <w:r>
        <w:rPr>
          <w:color w:val="5A7D3A"/>
          <w:sz w:val="18"/>
        </w:rPr>
        <w:t>https://pubmed.ncbi.nlm.nih.gov/42848635/</w:t>
      </w:r>
    </w:p>
    <w:p>
      <w:pPr>
        <w:pStyle w:val="Heading2"/>
      </w:pPr>
      <w:r>
        <w:t>HPV-Impfung vor Schwangerschaft senkt Risiken für ungünstige Schwangerschaftsergebnisse</w:t>
      </w:r>
    </w:p>
    <w:p>
      <w:r>
        <w:rPr>
          <w:i/>
          <w:color w:val="666666"/>
          <w:sz w:val="18"/>
        </w:rPr>
        <w:t>Zhang Z et al.  ·  BMJ  ·  07.10.2026  ·  PMID 42843853</w:t>
      </w:r>
    </w:p>
    <w:p>
      <w:r>
        <w:t>Bevölkerungsbasierte Matched-Case-Control-Studie in Schweden zur Assoziation zwischen quadrivalenter HPV-Impfung vor Schwangerschaft und Schwangerschaftskomplikationen bei 624.713 Geburten zwischen 2006 und 2023.</w:t>
      </w:r>
    </w:p>
    <w:p>
      <w:r>
        <w:rPr>
          <w:b/>
        </w:rPr>
        <w:t xml:space="preserve">Ergebnis: </w:t>
      </w:r>
      <w:r>
        <w:t>HPV-Impfung war mit niedrigeren Odds für ungünstige Schwangerschaftsergebnisse assoziiert: Frühgeborene &lt;37 Wochen (aOR 0,95, 95%-KI 0,91–0,99), sehr Frühgeborene 28–31 Wochen (aOR 0,85, 95%-KI 0,75–0,97), schwere Wachstumsretardierung (aOR 0,92, 95%-KI 0,87–0,97). Nutzen größer bei Impfung in jüngerem Alter.</w:t>
      </w:r>
    </w:p>
    <w:p>
      <w:r>
        <w:rPr>
          <w:b/>
          <w:sz w:val="19"/>
        </w:rPr>
        <w:t xml:space="preserve">Übertragbarkeit: </w:t>
      </w:r>
      <w:r>
        <w:rPr>
          <w:sz w:val="19"/>
        </w:rPr>
        <w:t>Schweden – Registerdata, vergleichbares europäisches Gesundheitssystem</w:t>
      </w:r>
    </w:p>
    <w:p>
      <w:r>
        <w:rPr>
          <w:color w:val="5A7D3A"/>
          <w:sz w:val="18"/>
        </w:rPr>
        <w:t>https://pubmed.ncbi.nlm.nih.gov/42843853/</w:t>
      </w:r>
    </w:p>
    <w:p>
      <w:pPr>
        <w:pStyle w:val="Heading2"/>
      </w:pPr>
      <w:r>
        <w:t>Determinanten der Kinderimpfung unterscheiden sich in konfliktbetroffenen und stabilen Regionen Kameruns</w:t>
      </w:r>
    </w:p>
    <w:p>
      <w:r>
        <w:rPr>
          <w:i/>
          <w:color w:val="666666"/>
          <w:sz w:val="18"/>
        </w:rPr>
        <w:t>Rossi R et al.  ·  Front Public Health  ·  21.09.2026  ·  PMID 42835095</w:t>
      </w:r>
    </w:p>
    <w:p>
      <w:r>
        <w:t>Sekundäranalyse der Demographic and Health Survey 2018 Kamerun bei 1.824 Kindern im Alter 12–23 Monaten zur Assoziation zwischen Konfliktregionen und vollständiger Grundimpfung.</w:t>
      </w:r>
    </w:p>
    <w:p>
      <w:r>
        <w:rPr>
          <w:b/>
        </w:rPr>
        <w:t xml:space="preserve">Ergebnis: </w:t>
      </w:r>
      <w:r>
        <w:t>Gesamtimpfquote 53,1%; in Konfliktregionen 45,3% vs. nicht betroffen 56,0%. Nach Anpassung war Konflikt-Status nicht unabhängig assoziiert. Signifikante Prädiktoren überall: höheres Haushaltseinkommen, mütterliche Sekundar-/Hochschulbildung, Antenatal- und Postnatalbetreuung. Unterschiede nur in nicht-konfligierenden Regionen relevant.</w:t>
      </w:r>
    </w:p>
    <w:p>
      <w:r>
        <w:rPr>
          <w:b/>
          <w:sz w:val="19"/>
        </w:rPr>
        <w:t xml:space="preserve">Übertragbarkeit: </w:t>
      </w:r>
      <w:r>
        <w:rPr>
          <w:sz w:val="19"/>
        </w:rPr>
        <w:t>Kamerun – DHS-Daten; Armuts- und Konfliktkontext, begrenzte Übertragbarkeit</w:t>
      </w:r>
    </w:p>
    <w:p>
      <w:r>
        <w:rPr>
          <w:color w:val="5A7D3A"/>
          <w:sz w:val="18"/>
        </w:rPr>
        <w:t>https://pubmed.ncbi.nlm.nih.gov/42835095/</w:t>
      </w:r>
    </w:p>
    <w:p>
      <w:pPr>
        <w:pStyle w:val="Heading2"/>
      </w:pPr>
      <w:r>
        <w:t>Impfempfehlungen für pädiatrische Transplantationsempfänger – Positionspapier des europäischen Referenznetzwerks</w:t>
      </w:r>
    </w:p>
    <w:p>
      <w:r>
        <w:rPr>
          <w:i/>
          <w:color w:val="666666"/>
          <w:sz w:val="18"/>
        </w:rPr>
        <w:t>Casotti V et al.  ·  J Pediatr Gastroenterol Nutr  ·  07.08.2026  ·  PMID 42563542</w:t>
      </w:r>
    </w:p>
    <w:p>
      <w:r>
        <w:t>Systematische Übersichtsarbeit mit evidenzgestützten Empfehlungen zu Impfungen bei Kindern nach Solid-Organ- oder Stammzelltransplantation, basierend auf Literaturanalyse und Konsens von Fachleuten aus 13 europäischen Ländern.</w:t>
      </w:r>
    </w:p>
    <w:p>
      <w:r>
        <w:rPr>
          <w:b/>
        </w:rPr>
        <w:t xml:space="preserve">Ergebnis: </w:t>
      </w:r>
      <w:r>
        <w:t>Bisher niedrige Impfquoten trotz etablierter Richtlinien; Barrieren: unvollständiger Impfstatus vor Transplantation, reduzierte Wirksamkeit durch Immunsuppression, Timing-Unsicherheiten, Vaccine Hesitancy. Empfehlungen: zeitnahe Immunisierung, optimales Timing nach Immunrekonstitution, Catch-up-Impfungen vor Transplantation.</w:t>
      </w:r>
    </w:p>
    <w:p>
      <w:r>
        <w:rPr>
          <w:b/>
          <w:sz w:val="19"/>
        </w:rPr>
        <w:t xml:space="preserve">Übertragbarkeit: </w:t>
      </w:r>
      <w:r>
        <w:rPr>
          <w:sz w:val="19"/>
        </w:rPr>
        <w:t>Europa (13 Länder) – Positionspapier; deutsche Zentren teilweise beteiligt</w:t>
      </w:r>
    </w:p>
    <w:p>
      <w:r>
        <w:rPr>
          <w:color w:val="5A7D3A"/>
          <w:sz w:val="18"/>
        </w:rPr>
        <w:t>https://pubmed.ncbi.nlm.nih.gov/42563542/</w:t>
      </w:r>
    </w:p>
    <w:p>
      <w:pPr>
        <w:pStyle w:val="Heading1"/>
      </w:pPr>
      <w:r>
        <w:t>Aufgenommen am 08.10.2026</w:t>
      </w:r>
    </w:p>
    <w:p>
      <w:pPr>
        <w:pStyle w:val="Heading2"/>
      </w:pPr>
      <w:r>
        <w:t>Impfskepsis gegen COVID-19-Booster clustert in Haushalten und Gemeinden – China</w:t>
      </w:r>
    </w:p>
    <w:p>
      <w:r>
        <w:rPr>
          <w:i/>
          <w:color w:val="666666"/>
          <w:sz w:val="18"/>
        </w:rPr>
        <w:t>Zhang Y et al.  ·  JMIR Public Health Surveill  ·  07.10.2026  ·  PMID 42842944</w:t>
      </w:r>
    </w:p>
    <w:p>
      <w:r>
        <w:t>Haushaltsbasierte Querschnittsbefragung zur Clusterung von Vaccine Hesitancy gegenüber COVID-19-Booster-Impfung nach individuellen, Haushalts- und Gemeinde-Ebenen.</w:t>
      </w:r>
    </w:p>
    <w:p>
      <w:r>
        <w:rPr>
          <w:b/>
        </w:rPr>
        <w:t xml:space="preserve">Ergebnis: </w:t>
      </w:r>
      <w:r>
        <w:t>27,0 % zeigten gleichzeitige Hesitancy bei aktuellen und zukünftigen Booster-Absichten; 77,73 % der Varianz waren auf Haushalts- und Gemeinde-Ebene zurückzuführen; Selbstwirksamkeit und vorherige COVID-19-Impfung waren stärkste Schutzfaktoren gegen Hesitancy.</w:t>
      </w:r>
    </w:p>
    <w:p>
      <w:r>
        <w:rPr>
          <w:b/>
          <w:sz w:val="19"/>
        </w:rPr>
        <w:t xml:space="preserve">Übertragbarkeit: </w:t>
      </w:r>
      <w:r>
        <w:rPr>
          <w:sz w:val="19"/>
        </w:rPr>
        <w:t>China, soziales Clustern; Mechanismen für haushalts- und gemeindebasierte Interventionen gelten international.</w:t>
      </w:r>
    </w:p>
    <w:p>
      <w:r>
        <w:rPr>
          <w:color w:val="5A7D3A"/>
          <w:sz w:val="18"/>
        </w:rPr>
        <w:t>https://pubmed.ncbi.nlm.nih.gov/42842944/</w:t>
      </w:r>
    </w:p>
    <w:p>
      <w:pPr>
        <w:pStyle w:val="Heading2"/>
      </w:pPr>
      <w:r>
        <w:t>Herpes-zoster-Impfung an Zahlungsbarriere gescheitert – Intention-Verhalten-Lücke in Taiwan</w:t>
      </w:r>
    </w:p>
    <w:p>
      <w:r>
        <w:rPr>
          <w:i/>
          <w:color w:val="666666"/>
          <w:sz w:val="18"/>
        </w:rPr>
        <w:t>Liou FY et al.  ·  Hum Vaccin Immunother  ·  07.10.2026  ·  PMID 42842236</w:t>
      </w:r>
    </w:p>
    <w:p>
      <w:r>
        <w:t>Nationale Querschnittsumfrage zu Determinanten der Herpes-zoster-Impfung in einem System ohne universelle Kostenübernahme.</w:t>
      </w:r>
    </w:p>
    <w:p>
      <w:r>
        <w:rPr>
          <w:b/>
        </w:rPr>
        <w:t xml:space="preserve">Ergebnis: </w:t>
      </w:r>
      <w:r>
        <w:t>16,6 % waren geimpft; 80,9 % der Ungeimpften zeigten Impfbereitschaft; Preis war das Haupthindernis – Zahlungsbereitschaft lag unter Marktpreis (USD 32,80 vs. Marktpreis), aber Bewusstsein für Subventionsprogramme verdoppelte Impfodds (OR: 2,30).</w:t>
      </w:r>
    </w:p>
    <w:p>
      <w:r>
        <w:rPr>
          <w:b/>
          <w:sz w:val="19"/>
        </w:rPr>
        <w:t xml:space="preserve">Übertragbarkeit: </w:t>
      </w:r>
      <w:r>
        <w:rPr>
          <w:sz w:val="19"/>
        </w:rPr>
        <w:t>Selbstzahlermodell nicht übertragbar; Befunde zu Affordability-Barrieren bei Erwachsenenimpfungen relevant.</w:t>
      </w:r>
    </w:p>
    <w:p>
      <w:r>
        <w:rPr>
          <w:color w:val="5A7D3A"/>
          <w:sz w:val="18"/>
        </w:rPr>
        <w:t>https://pubmed.ncbi.nlm.nih.gov/42842236/</w:t>
      </w:r>
    </w:p>
    <w:p>
      <w:pPr>
        <w:pStyle w:val="Heading2"/>
      </w:pPr>
      <w:r>
        <w:t>Tetanus-Impfbereitschaft nach Trauma hängt von praktischer Zugänglichkeit ab – China</w:t>
      </w:r>
    </w:p>
    <w:p>
      <w:r>
        <w:rPr>
          <w:i/>
          <w:color w:val="666666"/>
          <w:sz w:val="18"/>
        </w:rPr>
        <w:t>Fang Q et al.  ·  Front Public Health  ·  21.09.2026  ·  PMID 42835057</w:t>
      </w:r>
    </w:p>
    <w:p>
      <w:r>
        <w:t>Querschnittsstudie zur Impfbereitschaft gegen Tetanus nach Traumata mit Verhaltensfaktoren und Zugangshürden (BeSD-Rahmen).</w:t>
      </w:r>
    </w:p>
    <w:p>
      <w:r>
        <w:rPr>
          <w:b/>
        </w:rPr>
        <w:t xml:space="preserve">Ergebnis: </w:t>
      </w:r>
      <w:r>
        <w:t>51,9 % zeigten Impfbereitschaft; praktische Zugänglichkeit zeigte stärkste Assoziation mit Impfintention (strukturelle Gleichungsmodellierung); nur 19,2 % der angezeigten Patienten erhielten dokumentiert Impfung innerhalb von 7 Tagen – obwohl 80,6 % grundsätzlich angezeigt waren.</w:t>
      </w:r>
    </w:p>
    <w:p>
      <w:r>
        <w:rPr>
          <w:b/>
          <w:sz w:val="19"/>
        </w:rPr>
        <w:t xml:space="preserve">Übertragbarkeit: </w:t>
      </w:r>
      <w:r>
        <w:rPr>
          <w:sz w:val="19"/>
        </w:rPr>
        <w:t>China; Befunde zu Zugangsbarrieren beim Post-Expositions-Impfen übertragbar.</w:t>
      </w:r>
    </w:p>
    <w:p>
      <w:r>
        <w:rPr>
          <w:color w:val="5A7D3A"/>
          <w:sz w:val="18"/>
        </w:rPr>
        <w:t>https://pubmed.ncbi.nlm.nih.gov/42835057/</w:t>
      </w:r>
    </w:p>
    <w:p>
      <w:pPr>
        <w:pStyle w:val="Heading2"/>
      </w:pPr>
      <w:r>
        <w:t>COVID-19-Impfung bei südafrikanischen Jugendlichen: Alter, Haushaltskontext und Pandemie-Nähe treiben Quote</w:t>
      </w:r>
    </w:p>
    <w:p>
      <w:r>
        <w:rPr>
          <w:i/>
          <w:color w:val="666666"/>
          <w:sz w:val="18"/>
        </w:rPr>
        <w:t>Dietrich JJ et al.  ·  Glob Health Action  ·  06.10.2026  ·  PMID 42834877</w:t>
      </w:r>
    </w:p>
    <w:p>
      <w:r>
        <w:t>Online-Querschnittsbefragung zu Prädiktoren der COVID-19-Impfung bei Jugendlichen (18–24 Jahre) in eThekwini, Südafrika.</w:t>
      </w:r>
    </w:p>
    <w:p>
      <w:r>
        <w:rPr>
          <w:b/>
        </w:rPr>
        <w:t xml:space="preserve">Ergebnis: </w:t>
      </w:r>
      <w:r>
        <w:t>37,9 % waren geimpft; älteres Alter, Zusammenleben mit Senioren und persönliche Nähe zu schweren COVID-19-Verläufen (Krankenhausaufenthalte/Todesfälle im Umfeld) waren unabhängige Prädiktoren; geschlechtsspezifische Unterschiede bei Ethnizität und Familienstand.</w:t>
      </w:r>
    </w:p>
    <w:p>
      <w:r>
        <w:rPr>
          <w:b/>
          <w:sz w:val="19"/>
        </w:rPr>
        <w:t xml:space="preserve">Übertragbarkeit: </w:t>
      </w:r>
      <w:r>
        <w:rPr>
          <w:sz w:val="19"/>
        </w:rPr>
        <w:t>Südafrika, hohes Einkommensgefälle; Befunde zu sozialen Determinanten und Pandemie-Proximität international relevant.</w:t>
      </w:r>
    </w:p>
    <w:p>
      <w:r>
        <w:rPr>
          <w:color w:val="5A7D3A"/>
          <w:sz w:val="18"/>
        </w:rPr>
        <w:t>https://pubmed.ncbi.nlm.nih.gov/42834877/</w:t>
      </w:r>
    </w:p>
    <w:p>
      <w:pPr>
        <w:pStyle w:val="Heading2"/>
      </w:pPr>
      <w:r>
        <w:t>HPV-Impfung bei Erwachsenen (27–45 Jahre) bleibt selten – USA</w:t>
      </w:r>
    </w:p>
    <w:p>
      <w:r>
        <w:rPr>
          <w:i/>
          <w:color w:val="666666"/>
          <w:sz w:val="18"/>
        </w:rPr>
        <w:t>Jiang R et al.  ·  Hum Vaccin Immunother  ·  05.10.2026  ·  PMID 42834027</w:t>
      </w:r>
    </w:p>
    <w:p>
      <w:r>
        <w:t>Nationale Querschnittserhebung zur HPV-Impfquote bei Erwachsenen vor und nach COVID-19 anhand von NHIS-Daten.</w:t>
      </w:r>
    </w:p>
    <w:p>
      <w:r>
        <w:rPr>
          <w:b/>
        </w:rPr>
        <w:t xml:space="preserve">Ergebnis: </w:t>
      </w:r>
      <w:r>
        <w:t>Quote stieg von 15,1 % (2019) auf 20,7 % (2022); nur 1,43 % initiierten Impfung zwischen 27 und 45 Jahren; Alter, männliches Geschlecht, niedrigere Bildung und fehlende regelmäßige Versorgungsstelle waren mit niedrigerer Quote assoziiert.</w:t>
      </w:r>
    </w:p>
    <w:p>
      <w:r>
        <w:rPr>
          <w:b/>
          <w:sz w:val="19"/>
        </w:rPr>
        <w:t xml:space="preserve">Übertragbarkeit: </w:t>
      </w:r>
      <w:r>
        <w:rPr>
          <w:sz w:val="19"/>
        </w:rPr>
        <w:t>USA; Befunde zu Barrieren bei Catch-up-Impfung Erwachsener, nicht zu Kindheit relevant.</w:t>
      </w:r>
    </w:p>
    <w:p>
      <w:r>
        <w:rPr>
          <w:color w:val="5A7D3A"/>
          <w:sz w:val="18"/>
        </w:rPr>
        <w:t>https://pubmed.ncbi.nlm.nih.gov/42834027/</w:t>
      </w:r>
    </w:p>
    <w:p>
      <w:pPr>
        <w:pStyle w:val="Heading2"/>
      </w:pPr>
      <w:r>
        <w:t>Schottische Impfquoten blieben in der Pandemie stabil – Ungleichheiten bestehen fort</w:t>
      </w:r>
    </w:p>
    <w:p>
      <w:r>
        <w:rPr>
          <w:i/>
          <w:color w:val="666666"/>
          <w:sz w:val="18"/>
        </w:rPr>
        <w:t>Smith CD et al.  ·  Public Health  ·  13.08.2026  ·  PMID 42594547</w:t>
      </w:r>
    </w:p>
    <w:p>
      <w:r>
        <w:t>Bevölkerungsbasierte Kohortenstudie zu Routineimpfungen bei Kleinkindern in Schottland vor und während COVID-19.</w:t>
      </w:r>
    </w:p>
    <w:p>
      <w:r>
        <w:rPr>
          <w:b/>
        </w:rPr>
        <w:t xml:space="preserve">Ergebnis: </w:t>
      </w:r>
      <w:r>
        <w:t>Impfquoten für fünf von sechs Vakzinen blieben stabil oder stiegen während der Pandemie; Unterschiede nach Deprivation und ethnischer Herkunft verschärften sich nicht, aber bestandene Ungleichheiten persistierten.</w:t>
      </w:r>
    </w:p>
    <w:p>
      <w:r>
        <w:rPr>
          <w:b/>
          <w:sz w:val="19"/>
        </w:rPr>
        <w:t xml:space="preserve">Übertragbarkeit: </w:t>
      </w:r>
      <w:r>
        <w:rPr>
          <w:sz w:val="19"/>
        </w:rPr>
        <w:t>Schottisches Impfregister, vergleichbares Sozialsystem mit Deutschland.</w:t>
      </w:r>
    </w:p>
    <w:p>
      <w:r>
        <w:rPr>
          <w:color w:val="5A7D3A"/>
          <w:sz w:val="18"/>
        </w:rPr>
        <w:t>https://pubmed.ncbi.nlm.nih.gov/42594547/</w:t>
      </w:r>
    </w:p>
    <w:p>
      <w:pPr>
        <w:pStyle w:val="Heading1"/>
      </w:pPr>
      <w:r>
        <w:t>Aufgenommen am 07.10.2026</w:t>
      </w:r>
    </w:p>
    <w:p>
      <w:pPr>
        <w:pStyle w:val="Heading2"/>
      </w:pPr>
      <w:r>
        <w:t>Impfquoten bei Zero-Dose-Kindern: digitale Mikro-Planung erreichte unterversorgte Gemeinden in Niger</w:t>
      </w:r>
    </w:p>
    <w:p>
      <w:r>
        <w:rPr>
          <w:i/>
          <w:color w:val="666666"/>
          <w:sz w:val="18"/>
        </w:rPr>
        <w:t>Jimoh A et al.  ·  BMJ Glob Health  ·  06.10.2026  ·  PMID 42838605</w:t>
      </w:r>
    </w:p>
    <w:p>
      <w:r>
        <w:t>Die STRICAN-Initiative kombinierte Haushaltserfassung, digitale Mikroplanung und gemeindegestützte Mobilisierung, um zuvor unerreichbare Kinder in 10 Bezirken des Niger-Staates zu identifizieren und zu impfen.</w:t>
      </w:r>
    </w:p>
    <w:p>
      <w:r>
        <w:rPr>
          <w:b/>
        </w:rPr>
        <w:t xml:space="preserve">Ergebnis: </w:t>
      </w:r>
      <w:r>
        <w:t>Das Modell zeigte, dass datengesteuerte Mikro-Planung mit vertrauenswürdigen Gemeinschaftsstrukturen funktioniert. Zentrale Erkenntnisse: flexible Lieferstrategien in fragilen Einstellungen, starke Partnerschaften zwischen Regierung und Umsetzungsakteuren sowie die Integration digitaler Tools mit bestehenden Gemeinschaftssystemen verbesserten Identifikation und Service-Bereitstellung für Zero-Dose-Populationen.</w:t>
      </w:r>
    </w:p>
    <w:p>
      <w:r>
        <w:rPr>
          <w:b/>
          <w:sz w:val="19"/>
        </w:rPr>
        <w:t xml:space="preserve">Übertragbarkeit: </w:t>
      </w:r>
      <w:r>
        <w:rPr>
          <w:sz w:val="19"/>
        </w:rPr>
        <w:t>Nigeria, aber Modell übertragbar auf ähnliche Kontexte mit schwachen Registersystemen und fragmentierten Bevölkerungen.</w:t>
      </w:r>
    </w:p>
    <w:p>
      <w:r>
        <w:rPr>
          <w:color w:val="5A7D3A"/>
          <w:sz w:val="18"/>
        </w:rPr>
        <w:t>https://pubmed.ncbi.nlm.nih.gov/42838605/</w:t>
      </w:r>
    </w:p>
    <w:p>
      <w:pPr>
        <w:pStyle w:val="Heading2"/>
      </w:pPr>
      <w:r>
        <w:t>COVID-19-Impfbereitschaft bei chinesischen Fachpersonen: 59,9% für zukünftige Auffrischungen trotz 97% Vorbeugeimpfung</w:t>
      </w:r>
    </w:p>
    <w:p>
      <w:r>
        <w:rPr>
          <w:i/>
          <w:color w:val="666666"/>
          <w:sz w:val="18"/>
        </w:rPr>
        <w:t>Mu Y et al.  ·  JMIR Public Health Surveill  ·  06.10.2026  ·  PMID 42837522</w:t>
      </w:r>
    </w:p>
    <w:p>
      <w:r>
        <w:t>Nationale Mehrzentrums-Querschnittsbefragung von 2.877 Ärzten und 292 Medizinstudierenden in China Februar–April 2023 zur Bereitschaft für künftige jährliche COVID-19-Impfungen.</w:t>
      </w:r>
    </w:p>
    <w:p>
      <w:r>
        <w:rPr>
          <w:b/>
        </w:rPr>
        <w:t xml:space="preserve">Ergebnis: </w:t>
      </w:r>
      <w:r>
        <w:t>Insgesamt 59,9% (n=1.899) willens, zukünftige jährliche COVID-19-Impfung zu erhalten; 97% hatten mind. 1 Dosis erhalten; 93,1% hatten inaktivierte Impfstoffe. 90,2% unterstützen Ältere-Impfung, 73,2% Kleinkinderimpfung. Mangelnde Influenzaimpfbereitschaft stark assoziiert mit COVID-19-Hesitanz (aPR 4,11, 95%-KI 3,71–4,55). Häufigste Bedenken: Impfwirksamkeit (53,1%), Sicherheit (33,4%), unzureichende Studiendatenoffenlegung (29%).</w:t>
      </w:r>
    </w:p>
    <w:p>
      <w:r>
        <w:rPr>
          <w:b/>
          <w:sz w:val="19"/>
        </w:rPr>
        <w:t xml:space="preserve">Übertragbarkeit: </w:t>
      </w:r>
      <w:r>
        <w:rPr>
          <w:sz w:val="19"/>
        </w:rPr>
        <w:t>China, aber Befunde zu Kommunikationsbedarf und Vertrauensaufbau bei Fachpersonen auf deutsches Vertrauen-in-Institutionen-Problem übertragbar.</w:t>
      </w:r>
    </w:p>
    <w:p>
      <w:r>
        <w:rPr>
          <w:color w:val="5A7D3A"/>
          <w:sz w:val="18"/>
        </w:rPr>
        <w:t>https://pubmed.ncbi.nlm.nih.gov/42837522/</w:t>
      </w:r>
    </w:p>
    <w:p>
      <w:pPr>
        <w:pStyle w:val="Heading2"/>
      </w:pPr>
      <w:r>
        <w:t>RSV-Impfung bei älteren Herzinsuffizienzpatienten: Sterblichkeit sinkt um 49%, ICU-Aufnahmen um 54%</w:t>
      </w:r>
    </w:p>
    <w:p>
      <w:r>
        <w:rPr>
          <w:i/>
          <w:color w:val="666666"/>
          <w:sz w:val="18"/>
        </w:rPr>
        <w:t>Khan A et al.  ·  Clin Cardiol  ·  Okt. 2026  ·  PMID 42836598</w:t>
      </w:r>
    </w:p>
    <w:p>
      <w:r>
        <w:t>Retrospektive Kohorte mit Propensity-Score-Matching verglich RSV-Geimpfte und Ungeimpfte ≥60 Jahre mit Herzinsuffizienz, n=777 pro Gruppe, Nachbeobachtung Mai 2023–Januar 2026.</w:t>
      </w:r>
    </w:p>
    <w:p>
      <w:r>
        <w:rPr>
          <w:b/>
        </w:rPr>
        <w:t xml:space="preserve">Ergebnis: </w:t>
      </w:r>
      <w:r>
        <w:t>Geimpfte hatten signifikant niedrigere Gesamtsterblichkeit (HR 0,51, 95%-KI 0,33–0,79) und weniger ICU-Aufnahmen (2,7% vs. 5,8%, HR 0,46, 95%-KI 0,25–0,86). Kein Unterschied bei Atemwegsversagen (7,3% vs. 9,4%), stationären/Notfallbesuchen oder HI-Verschärfung. Höhere Gesamt-Gesundheitsnutzung in Geimpften (HR 1,85, 95%-KI 1,65–2,08) – hypothesengenerierend für Vermeidung schwerer Atemwegserkrankung.</w:t>
      </w:r>
    </w:p>
    <w:p>
      <w:r>
        <w:rPr>
          <w:b/>
          <w:sz w:val="19"/>
        </w:rPr>
        <w:t xml:space="preserve">Übertragbarkeit: </w:t>
      </w:r>
      <w:r>
        <w:rPr>
          <w:sz w:val="19"/>
        </w:rPr>
        <w:t>USA-Daten (TriNetX), aber Sicherheitsbefund und Mortalitätsvorteil übertragbar.</w:t>
      </w:r>
    </w:p>
    <w:p>
      <w:r>
        <w:rPr>
          <w:color w:val="5A7D3A"/>
          <w:sz w:val="18"/>
        </w:rPr>
        <w:t>https://pubmed.ncbi.nlm.nih.gov/42836598/</w:t>
      </w:r>
    </w:p>
    <w:p>
      <w:pPr>
        <w:pStyle w:val="Heading2"/>
      </w:pPr>
      <w:r>
        <w:t>Impfungen in der Schwangerschaft: Griechische Studie identifiziert Barrieren und Angehörigenedukatoren</w:t>
      </w:r>
    </w:p>
    <w:p>
      <w:r>
        <w:rPr>
          <w:i/>
          <w:color w:val="666666"/>
          <w:sz w:val="18"/>
        </w:rPr>
        <w:t>Psarris A et al.  ·  J Pregnancy  ·  2026  ·  PMID 42836283</w:t>
      </w:r>
    </w:p>
    <w:p>
      <w:r>
        <w:t>Querschnittsstudie zur Impfbereitschaft bei 725 Wöchnerinnen in zwei Athener Kliniken mit Fokus auf COVID-19, Tdap, Influenza und RSV.</w:t>
      </w:r>
    </w:p>
    <w:p>
      <w:r>
        <w:rPr>
          <w:b/>
        </w:rPr>
        <w:t xml:space="preserve">Ergebnis: </w:t>
      </w:r>
      <w:r>
        <w:t>Insgesamt 51,2% erhielten mindestens eine Impfung in der Schwangerschaft: Tdap 42,5%, Influenza 19,6%, COVID-19 3,6%, RSV &lt;1%. Nur 14,62% erhielten mehrere Impfungen. Hauptbarrieren: mangelnde ärztliche Beratung (Site 1: 29,0%, Site 2: 18,6%), persönliche Wahl und Sicherheitsbedenken (Site 2 höher). Höhere Schulbildung und städtischer Wohnort waren unabhängig mit höherer Impfbereitschaft assoziiert.</w:t>
      </w:r>
    </w:p>
    <w:p>
      <w:r>
        <w:rPr>
          <w:b/>
          <w:sz w:val="19"/>
        </w:rPr>
        <w:t xml:space="preserve">Übertragbarkeit: </w:t>
      </w:r>
      <w:r>
        <w:rPr>
          <w:sz w:val="19"/>
        </w:rPr>
        <w:t>Griechenland – deutschsprachiger Raum, vergleichbare Sozialversicherung, aber Mutterschaftsimpfquoten deutlich unter deutschen Empfehlungen.</w:t>
      </w:r>
    </w:p>
    <w:p>
      <w:r>
        <w:rPr>
          <w:color w:val="5A7D3A"/>
          <w:sz w:val="18"/>
        </w:rPr>
        <w:t>https://pubmed.ncbi.nlm.nih.gov/42836283/</w:t>
      </w:r>
    </w:p>
    <w:p>
      <w:pPr>
        <w:pStyle w:val="Heading2"/>
      </w:pPr>
      <w:r>
        <w:t>Grippeimpfung bei Gesundheitsfachpersonen in China: Metaanalyse zeigt 27%-Quote und wirksame Interventionen</w:t>
      </w:r>
    </w:p>
    <w:p>
      <w:r>
        <w:rPr>
          <w:i/>
          <w:color w:val="666666"/>
          <w:sz w:val="18"/>
        </w:rPr>
        <w:t>Xiong L et al.  ·  Front Public Health  ·  21.09.2026  ·  PMID 42835288</w:t>
      </w:r>
    </w:p>
    <w:p>
      <w:r>
        <w:t>Systematische Übersicht mit Metaanalyse von 49 Querschnittsstudien mit 111.544 chinesischen Gesundheitsfachpersonen zur Influenzaimpfquote und beeinflussenden Faktoren.</w:t>
      </w:r>
    </w:p>
    <w:p>
      <w:r>
        <w:rPr>
          <w:b/>
        </w:rPr>
        <w:t xml:space="preserve">Ergebnis: </w:t>
      </w:r>
      <w:r>
        <w:t>Gesamtimpfquote 27% (95%-KI 21–34%). Positiv assoziiert: Alter 40–49 Jahre, weiblich, Einkommen &gt;3.000 RMB, beruflicher Titel, frühere Impfhistorie, institutionelle Ermutigung/Verpflichtung, kostenlose Impfung, Kenntnis des optimalen Zeitpunkts, Impfbereitschaft. Strukturelle Interventionen (kostenlos, Ermutigung, Vor-Ort-Dienste) plus zielgerichtete Strategien für jüngere, männliche, einkommensschwache und impfnaive Personen empfohlen.</w:t>
      </w:r>
    </w:p>
    <w:p>
      <w:r>
        <w:rPr>
          <w:b/>
          <w:sz w:val="19"/>
        </w:rPr>
        <w:t xml:space="preserve">Übertragbarkeit: </w:t>
      </w:r>
      <w:r>
        <w:rPr>
          <w:sz w:val="19"/>
        </w:rPr>
        <w:t>China – Bevölkerungsdaten, aber Erkenntnisse zu Anreizstrukturen und Zugangsbarrieren auf deutsche HCW-Programme übertragbar.</w:t>
      </w:r>
    </w:p>
    <w:p>
      <w:r>
        <w:rPr>
          <w:color w:val="5A7D3A"/>
          <w:sz w:val="18"/>
        </w:rPr>
        <w:t>https://pubmed.ncbi.nlm.nih.gov/42835288/</w:t>
      </w:r>
    </w:p>
    <w:p>
      <w:pPr>
        <w:pStyle w:val="Heading2"/>
      </w:pPr>
      <w:r>
        <w:t>PCV21 versus PCV20 in Deutschland: Pneumokokkenimpfung zeigt Kosteneinsparungen</w:t>
      </w:r>
    </w:p>
    <w:p>
      <w:r>
        <w:rPr>
          <w:i/>
          <w:color w:val="666666"/>
          <w:sz w:val="18"/>
        </w:rPr>
        <w:t>Simuzingili M et al.  ·  Expert Rev Vaccines  ·  05.10.2026  ·  PMID 42834615</w:t>
      </w:r>
    </w:p>
    <w:p>
      <w:r>
        <w:t>Kosten-Effektivitätsanalyse mit angepasstem Markov-Modell verglich PCV21 und PCV20 bei ungeimpften Erwachsenen ≥60 Jahren in Deutschland.</w:t>
      </w:r>
    </w:p>
    <w:p>
      <w:r>
        <w:rPr>
          <w:b/>
        </w:rPr>
        <w:t xml:space="preserve">Ergebnis: </w:t>
      </w:r>
      <w:r>
        <w:t>PCV21 reduzierte gegenüber PCV20 Krankheitsfälle, Todesfälle und direkte Kosten. Aus Kostenträger- und Gesellschaftsperspektive war PCV21 kosteneinsparend. In Sensitivitätsanalysen blieb PCV21 kostenrettend über alle Parametervariationen. PCV21 wurde dominiert nur bei Reduktion des Unterschieds in der NBPP-Erkrankungsabdeckung auf 0,5%.</w:t>
      </w:r>
    </w:p>
    <w:p>
      <w:r>
        <w:rPr>
          <w:b/>
          <w:sz w:val="19"/>
        </w:rPr>
        <w:t xml:space="preserve">Übertragbarkeit: </w:t>
      </w:r>
      <w:r>
        <w:rPr>
          <w:sz w:val="19"/>
        </w:rPr>
        <w:t>Deutschland – Modell auf deutschen Kostendaten, deutsches Gesundheitssystem und Impfkalender.</w:t>
      </w:r>
    </w:p>
    <w:p>
      <w:r>
        <w:rPr>
          <w:color w:val="5A7D3A"/>
          <w:sz w:val="18"/>
        </w:rPr>
        <w:t>https://pubmed.ncbi.nlm.nih.gov/42834615/</w:t>
      </w:r>
    </w:p>
    <w:p>
      <w:pPr>
        <w:pStyle w:val="Heading1"/>
      </w:pPr>
      <w:r>
        <w:t>Aufgenommen am 06.10.2026</w:t>
      </w:r>
    </w:p>
    <w:p>
      <w:pPr>
        <w:pStyle w:val="Heading2"/>
      </w:pPr>
      <w:r>
        <w:t>Massenimpfkampagne gegen Tollwut: 70-Prozent-Abdeckung in Ghana erreicht</w:t>
      </w:r>
    </w:p>
    <w:p>
      <w:r>
        <w:rPr>
          <w:i/>
          <w:color w:val="666666"/>
          <w:sz w:val="18"/>
        </w:rPr>
        <w:t>Dwaah PK et al.  ·  PLoS Negl Trop Dis  ·  05.10.2026  ·  PMID 42832606</w:t>
      </w:r>
    </w:p>
    <w:p>
      <w:r>
        <w:t>Evaluationen einer Eintagskampagne zur Hundeimpfung gegen Tollwut im September 2024 in Techiman Metropolis, Ghana, mit gemischten Methoden.</w:t>
      </w:r>
    </w:p>
    <w:p>
      <w:r>
        <w:rPr>
          <w:b/>
        </w:rPr>
        <w:t xml:space="preserve">Ergebnis: </w:t>
      </w:r>
      <w:r>
        <w:t>Administrative Abdeckung: ca. 70 % (5.600 Hunde), basierend auf Bevölkerungsschätzungen. Bewusstsein für Tollwut (tödlich) stieg von 45 % auf 75 %, für Prävention von 40 % auf 70 %. Barrieren: Impfstoffversorgungsverzögerungen, unzureichende Kühlkette, limitierter Zugang für periurbane Gebiete, keine Strategien für freilebende Hunde.</w:t>
      </w:r>
    </w:p>
    <w:p>
      <w:r>
        <w:rPr>
          <w:b/>
          <w:sz w:val="19"/>
        </w:rPr>
        <w:t xml:space="preserve">Übertragbarkeit: </w:t>
      </w:r>
      <w:r>
        <w:rPr>
          <w:sz w:val="19"/>
        </w:rPr>
        <w:t>Sub-Sahara-Afrika-Kontext; Erkenntnisse zu Logistik, Mehrsektor-Koordination und Monitoring übertragbar auf Impfkampagnen in Ländern mit begrenzter Infrastruktur.</w:t>
      </w:r>
    </w:p>
    <w:p>
      <w:r>
        <w:rPr>
          <w:color w:val="5A7D3A"/>
          <w:sz w:val="18"/>
        </w:rPr>
        <w:t>https://pubmed.ncbi.nlm.nih.gov/42832606/</w:t>
      </w:r>
    </w:p>
    <w:p>
      <w:pPr>
        <w:pStyle w:val="Heading2"/>
      </w:pPr>
      <w:r>
        <w:t>Impfkoordinator*innen: Erinnerungssysteme und flexible Termine erhöhen HPV-Quoten</w:t>
      </w:r>
    </w:p>
    <w:p>
      <w:r>
        <w:rPr>
          <w:i/>
          <w:color w:val="666666"/>
          <w:sz w:val="18"/>
        </w:rPr>
        <w:t>Khatri RA et al.  ·  Hum Vaccin Immunother  ·  05.10.2026  ·  PMID 42832184</w:t>
      </w:r>
    </w:p>
    <w:p>
      <w:r>
        <w:t>Qualitative Studie mit 24 Impfverantwortlichen aus Gesundheitsämtern in Indiana zu Barrieren und Förderern für HPV-Impfquoten bei Jugendlichen.</w:t>
      </w:r>
    </w:p>
    <w:p>
      <w:r>
        <w:rPr>
          <w:b/>
        </w:rPr>
        <w:t xml:space="preserve">Ergebnis: </w:t>
      </w:r>
      <w:r>
        <w:t>Hauptbarrieren für Abschluss der Serie: fehlende Information und Zeitmangel bei Eltern und Jugendlichen. Hauptförderung: automatische Erinnerungssysteme (Terminerinnerungen) und flexible Impfzeiten. Schulpolitik (HPV nicht Pflichtimpfung) wirkte als strukturelle Barriere.</w:t>
      </w:r>
    </w:p>
    <w:p>
      <w:r>
        <w:rPr>
          <w:b/>
          <w:sz w:val="19"/>
        </w:rPr>
        <w:t xml:space="preserve">Übertragbarkeit: </w:t>
      </w:r>
      <w:r>
        <w:rPr>
          <w:sz w:val="19"/>
        </w:rPr>
        <w:t>USA-Studie, aber Erkenntnisse zu Terminmanagement und Erinnerungswesen sind auf deutsches System mit QM-Anforderungen übertragbar.</w:t>
      </w:r>
    </w:p>
    <w:p>
      <w:r>
        <w:rPr>
          <w:color w:val="5A7D3A"/>
          <w:sz w:val="18"/>
        </w:rPr>
        <w:t>https://pubmed.ncbi.nlm.nih.gov/42832184/</w:t>
      </w:r>
    </w:p>
    <w:p>
      <w:pPr>
        <w:pStyle w:val="Heading2"/>
      </w:pPr>
      <w:r>
        <w:t>Hepatitis-B-Impfung in Kyrgyzstan: 3-%-Quote bei Erwachsenen, Barrieren identifiziert</w:t>
      </w:r>
    </w:p>
    <w:p>
      <w:r>
        <w:rPr>
          <w:i/>
          <w:color w:val="666666"/>
          <w:sz w:val="18"/>
        </w:rPr>
        <w:t>Zholdoshev S et al.  ·  Prague Med Rep  ·  2026  ·  PMID 42831606</w:t>
      </w:r>
    </w:p>
    <w:p>
      <w:r>
        <w:t>Screening-Studie in Jalal-Abad (Kirgisistan) zur Hepatitis-B-Impfquote Erwachsener und Barrieren für Immunisierungsprogramme.</w:t>
      </w:r>
    </w:p>
    <w:p>
      <w:r>
        <w:rPr>
          <w:b/>
        </w:rPr>
        <w:t xml:space="preserve">Ergebnis: </w:t>
      </w:r>
      <w:r>
        <w:t>Impfquote nur 3 % (Screening von 2.126 von 71.307 Erwachsenen); HBsAg-Prävalenz 3,3 %. Nach Kampagne 2.483 Personen geimpft, überwiegend Frauen (68,1 %) und Altersgruppe 50–59 Jahre. Barrieren: begrenzte Gesundheitsversorgung, mangelndes Bewusstsein, logistische Hürden. Interventionen: mobile Impfteams, integrierte öffentliche Dienste, kulturangepasste Kampagnen.</w:t>
      </w:r>
    </w:p>
    <w:p>
      <w:r>
        <w:rPr>
          <w:b/>
          <w:sz w:val="19"/>
        </w:rPr>
        <w:t xml:space="preserve">Übertragbarkeit: </w:t>
      </w:r>
      <w:r>
        <w:rPr>
          <w:sz w:val="19"/>
        </w:rPr>
        <w:t>Zentralasien, begrenzte Ressourcen; Erkenntnisse zu Zugangsbarrieren und Geschlechterdisparitäten zeigen Ungleichheitsaspekte.</w:t>
      </w:r>
    </w:p>
    <w:p>
      <w:r>
        <w:rPr>
          <w:color w:val="5A7D3A"/>
          <w:sz w:val="18"/>
        </w:rPr>
        <w:t>https://pubmed.ncbi.nlm.nih.gov/42831606/</w:t>
      </w:r>
    </w:p>
    <w:p>
      <w:pPr>
        <w:pStyle w:val="Heading2"/>
      </w:pPr>
      <w:r>
        <w:t>Grippeimpfung bei Kindern: individuelle statt routinemäßige Entscheidung empfohlen</w:t>
      </w:r>
    </w:p>
    <w:p>
      <w:r>
        <w:rPr>
          <w:i/>
          <w:color w:val="666666"/>
          <w:sz w:val="18"/>
        </w:rPr>
        <w:t>Beneš J  ·  Cas Lek Cesk  ·  2026  ·  PMID 42829827</w:t>
      </w:r>
    </w:p>
    <w:p>
      <w:r>
        <w:t>Narrative Übersichtsarbeit zur Influenzaimpfung bei Kindern mit Analyse von Evidenz zu Effektivität und Indikationen.</w:t>
      </w:r>
    </w:p>
    <w:p>
      <w:r>
        <w:rPr>
          <w:b/>
        </w:rPr>
        <w:t xml:space="preserve">Ergebnis: </w:t>
      </w:r>
      <w:r>
        <w:t>Grippeimpfung reduziert Häufigkeit und Schweregrad, aber Effektivität variiert je nach Situation. Meta-analysen zeigen unzureichende Evidenz für routinemäßige Impfung gesunder Kinder. Impfung sinnvoll bei schweren Immundefekten oder Komorbiditäten. Routine-Schuleingangsimpfung bleibt umstritten.</w:t>
      </w:r>
    </w:p>
    <w:p>
      <w:r>
        <w:rPr>
          <w:b/>
          <w:sz w:val="19"/>
        </w:rPr>
        <w:t xml:space="preserve">Übertragbarkeit: </w:t>
      </w:r>
      <w:r>
        <w:rPr>
          <w:sz w:val="19"/>
        </w:rPr>
        <w:t>Tschechien, vergleichbare europäische Impfkalender-Diskussionen; Befund zur fehlenden Routine-Evidenz bei Gesunden relevant für deutsches STIKO-Abwägen.</w:t>
      </w:r>
    </w:p>
    <w:p>
      <w:r>
        <w:rPr>
          <w:color w:val="5A7D3A"/>
          <w:sz w:val="18"/>
        </w:rPr>
        <w:t>https://pubmed.ncbi.nlm.nih.gov/42829827/</w:t>
      </w:r>
    </w:p>
    <w:p>
      <w:pPr>
        <w:pStyle w:val="Heading2"/>
      </w:pPr>
      <w:r>
        <w:t>Intranasale Interferon-α lenkt Impf-T-Zellen in obere Atemwege</w:t>
      </w:r>
    </w:p>
    <w:p>
      <w:r>
        <w:rPr>
          <w:i/>
          <w:color w:val="666666"/>
          <w:sz w:val="18"/>
        </w:rPr>
        <w:t>Fraser R et al.  ·  Front Immunol  ·  18.09.2026  ·  PMID 42827561</w:t>
      </w:r>
    </w:p>
    <w:p>
      <w:r>
        <w:t>Experimentelle Studie mit SARS-CoV-2-Vakzination als Testfall: intranasales exogenes IFN-α als Adjuvans zu systemischer Impfung.</w:t>
      </w:r>
    </w:p>
    <w:p>
      <w:r>
        <w:rPr>
          <w:b/>
        </w:rPr>
        <w:t xml:space="preserve">Ergebnis: </w:t>
      </w:r>
      <w:r>
        <w:t>Intranasale Gabe von IFN-α (ohne intranasales Antigen) lenkt impfspezifische T-Zell-Reaktionen in die oberen Atemwege, ohne auf intranasale Antigen-Delivery angewiesen zu sein. Neuartiger Weg, um lokale Immunität an Infektionsort zu generieren und Transmission zu unterbrechen.</w:t>
      </w:r>
    </w:p>
    <w:p>
      <w:r>
        <w:rPr>
          <w:b/>
          <w:sz w:val="19"/>
        </w:rPr>
        <w:t xml:space="preserve">Übertragbarkeit: </w:t>
      </w:r>
      <w:r>
        <w:rPr>
          <w:sz w:val="19"/>
        </w:rPr>
        <w:t>UK-Studie, Konzept-proof; übertragbar auf respiratorische Impfprogramme für Influenza, RSV, andere Atemwegsinfekte mit lokalem Fokus.</w:t>
      </w:r>
    </w:p>
    <w:p>
      <w:r>
        <w:rPr>
          <w:color w:val="5A7D3A"/>
          <w:sz w:val="18"/>
        </w:rPr>
        <w:t>https://pubmed.ncbi.nlm.nih.gov/42827561/</w:t>
      </w:r>
    </w:p>
    <w:p>
      <w:pPr>
        <w:pStyle w:val="Heading2"/>
      </w:pPr>
      <w:r>
        <w:t>NK-Zell-Therapien: Europa betont klinische Translation und Sicherheit</w:t>
      </w:r>
    </w:p>
    <w:p>
      <w:r>
        <w:rPr>
          <w:i/>
          <w:color w:val="666666"/>
          <w:sz w:val="18"/>
        </w:rPr>
        <w:t>Knapp LR et al.  ·  Hum Gene Ther  ·  03.08.2026  ·  PMID 42544553</w:t>
      </w:r>
    </w:p>
    <w:p>
      <w:r>
        <w:t>Opinion Paper aus Europäischer Perspektive zur klinischen Translation von Natural-Killer-Zell-Therapien, Ergebnisse eines Workshops März 2026 in Deutschland.</w:t>
      </w:r>
    </w:p>
    <w:p>
      <w:r>
        <w:rPr>
          <w:b/>
        </w:rPr>
        <w:t xml:space="preserve">Ergebnis: </w:t>
      </w:r>
      <w:r>
        <w:t>Sieben CAR-T-Produkte in Europa zugelassen für B-Zell-Malignome. NK-Zellen und γδ T-Zellen zeigen starke intrinsische Zytotoxizität und günstiges Sicherheitsprofil, aber Implementierungshürden bleiben: Manufacturing-Constraints, Kostenbarrieren, begrenzte klinische Daten. Empfehlung: koordinierte internationale Arbeit zu Validierung und Regulatory Harmonisierung.</w:t>
      </w:r>
    </w:p>
    <w:p>
      <w:r>
        <w:rPr>
          <w:b/>
          <w:sz w:val="19"/>
        </w:rPr>
        <w:t xml:space="preserve">Übertragbarkeit: </w:t>
      </w:r>
      <w:r>
        <w:rPr>
          <w:sz w:val="19"/>
        </w:rPr>
        <w:t>Deutsche und europäische Kliniken, vergleichbare Regulierung; direkt anwendbar auf Implementierungsplanung.</w:t>
      </w:r>
    </w:p>
    <w:p>
      <w:r>
        <w:rPr>
          <w:color w:val="5A7D3A"/>
          <w:sz w:val="18"/>
        </w:rPr>
        <w:t>https://pubmed.ncbi.nlm.nih.gov/42544553/</w:t>
      </w:r>
    </w:p>
    <w:p>
      <w:pPr>
        <w:pStyle w:val="Heading1"/>
      </w:pPr>
      <w:r>
        <w:t>Aufgenommen am 05.10.2026</w:t>
      </w:r>
    </w:p>
    <w:p>
      <w:pPr>
        <w:pStyle w:val="Heading2"/>
      </w:pPr>
      <w:r>
        <w:t>Torque-Teno-Virus-Viruslast verbessert Vorhersage der SARS-CoV-2-Serokonversion bei Nierentransplantation</w:t>
      </w:r>
    </w:p>
    <w:p>
      <w:r>
        <w:rPr>
          <w:i/>
          <w:color w:val="666666"/>
          <w:sz w:val="18"/>
        </w:rPr>
        <w:t>Hermida E et al.  ·  Clin Transplant  ·  Okt. 2026  ·  PMID 42829947</w:t>
      </w:r>
    </w:p>
    <w:p>
      <w:r>
        <w:t>Prospektive Kohortenstudie in argentinischen Nierentransplantierten (KTPs) zur Vorhersage der Serokonversion nach COVID-19-Impfung mittels TTV-Viruslast und klinischer Variablen.</w:t>
      </w:r>
    </w:p>
    <w:p>
      <w:r>
        <w:rPr>
          <w:b/>
        </w:rPr>
        <w:t xml:space="preserve">Ergebnis: </w:t>
      </w:r>
      <w:r>
        <w:t>Serokonversionsraten: 16,9% nach vollständiger Impfung, 21,9% nach einer Auffrischung, 55,5% nach zwei Auffrischungen. TTV-Viruslast allein zeigte bescheidene Vorhersagekraft (AUC 0,634). Ein erweitertes Modell mit TTV + klinischen/Impfvariablen verbesserte die Vorhersage erheblich (AUC 0,814) mit NPV 90,0%. Multifaktorielle Ansätze können Impfstrategien bei immungeschwächten Patienten optimieren.</w:t>
      </w:r>
    </w:p>
    <w:p>
      <w:r>
        <w:rPr>
          <w:b/>
          <w:sz w:val="19"/>
        </w:rPr>
        <w:t xml:space="preserve">Übertragbarkeit: </w:t>
      </w:r>
      <w:r>
        <w:rPr>
          <w:sz w:val="19"/>
        </w:rPr>
        <w:t>Argentinien, Transplantationsmedizin, Modellansatz auf deutsche Zentren übertragbar</w:t>
      </w:r>
    </w:p>
    <w:p>
      <w:r>
        <w:rPr>
          <w:color w:val="5A7D3A"/>
          <w:sz w:val="18"/>
        </w:rPr>
        <w:t>https://pubmed.ncbi.nlm.nih.gov/42829947/</w:t>
      </w:r>
    </w:p>
    <w:p>
      <w:pPr>
        <w:pStyle w:val="Heading2"/>
      </w:pPr>
      <w:r>
        <w:t>WHO-Fragebogen zu Verhaltensfaktoren bei Grippeimpfung validiert in Australien</w:t>
      </w:r>
    </w:p>
    <w:p>
      <w:r>
        <w:rPr>
          <w:i/>
          <w:color w:val="666666"/>
          <w:sz w:val="18"/>
        </w:rPr>
        <w:t>Sabahelzain MM et al.  ·  Hum Vaccin Immunother  ·  04.10.2026  ·  PMID 42829802</w:t>
      </w:r>
    </w:p>
    <w:p>
      <w:r>
        <w:t>Validierungsstudie des WHO-BeSD-Fragebogens zu sozialen und verhaltensbezogenen Treibern der Grippeimpfung in Australien mit kognitiven Interviews und psychometrischer Analyse.</w:t>
      </w:r>
    </w:p>
    <w:p>
      <w:r>
        <w:rPr>
          <w:b/>
        </w:rPr>
        <w:t xml:space="preserve">Ergebnis: </w:t>
      </w:r>
      <w:r>
        <w:t>Nach kognitiven Interviews mit 16 Erwachsenen wurden 9 von 31 Items überarbeitet. Psychometrische Auswertung von 2055 Respondenten identifizierte 5 Faktoren (Denken/Fühlen, soziale Prozesse, Motivation, praktische Fragen). Jedes Item korrelierte mit Impfintention, besonders Items zu wahrgenommener Impfwichtigkeit und sozialer Verantwortung. Fragebogen validiert, weitere Tests in verschiedenen Kontexten empfohlen.</w:t>
      </w:r>
    </w:p>
    <w:p>
      <w:r>
        <w:rPr>
          <w:b/>
          <w:sz w:val="19"/>
        </w:rPr>
        <w:t xml:space="preserve">Übertragbarkeit: </w:t>
      </w:r>
      <w:r>
        <w:rPr>
          <w:sz w:val="19"/>
        </w:rPr>
        <w:t>Australien, ähnlicher Versorgungskontext, Fragebogen-Tool transferierbar</w:t>
      </w:r>
    </w:p>
    <w:p>
      <w:r>
        <w:rPr>
          <w:color w:val="5A7D3A"/>
          <w:sz w:val="18"/>
        </w:rPr>
        <w:t>https://pubmed.ncbi.nlm.nih.gov/42829802/</w:t>
      </w:r>
    </w:p>
    <w:p>
      <w:pPr>
        <w:pStyle w:val="Heading2"/>
      </w:pPr>
      <w:r>
        <w:t>Türkische Eltern in den USA berichten Barrieren in der Impfaufklärung und Vertrauenslücken</w:t>
      </w:r>
    </w:p>
    <w:p>
      <w:r>
        <w:rPr>
          <w:i/>
          <w:color w:val="666666"/>
          <w:sz w:val="18"/>
        </w:rPr>
        <w:t>Çelik E et al.  ·  Front Public Health  ·  18.09.2026  ·  PMID 42827996</w:t>
      </w:r>
    </w:p>
    <w:p>
      <w:r>
        <w:t>Qualitative Interviewstudie mit 13 türkischen Migranteneltern in den USA zur Aufklärung und informed consent für Kinderimpfungen bei verpflichtender Schuleinschulung.</w:t>
      </w:r>
    </w:p>
    <w:p>
      <w:r>
        <w:rPr>
          <w:b/>
        </w:rPr>
        <w:t xml:space="preserve">Ergebnis: </w:t>
      </w:r>
      <w:r>
        <w:t>Vier Hauptthemen: (1) technische Sprache und Verständnisschwierigkeiten; (2) fehlende ethische Kompetenz in der klinischen Kommunikation; (3) Impfmandate verschieben Aufklärung zu bloßer Compliance; (4) Eltern suchen eigenständig religiöse und Zutat-Informationen, da klinische Beratung diese nicht abdeckt. Formale religiöse Leitlinien in USA wenig bekannt, anders als in muslimischen Ländern mit koordinierter Anleitung.</w:t>
      </w:r>
    </w:p>
    <w:p>
      <w:r>
        <w:rPr>
          <w:b/>
          <w:sz w:val="19"/>
        </w:rPr>
        <w:t xml:space="preserve">Übertragbarkeit: </w:t>
      </w:r>
      <w:r>
        <w:rPr>
          <w:sz w:val="19"/>
        </w:rPr>
        <w:t>USA-Kontext, aber Befunde zu Informationsgap und Sprachbarrieren für Deutschland relevant</w:t>
      </w:r>
    </w:p>
    <w:p>
      <w:r>
        <w:rPr>
          <w:color w:val="5A7D3A"/>
          <w:sz w:val="18"/>
        </w:rPr>
        <w:t>https://pubmed.ncbi.nlm.nih.gov/42827996/</w:t>
      </w:r>
    </w:p>
    <w:p>
      <w:pPr>
        <w:pStyle w:val="Heading2"/>
      </w:pPr>
      <w:r>
        <w:t>Impfquoten und Impfeinstellungen unterscheiden sich stark zwischen Stadt und Land in Polen</w:t>
      </w:r>
    </w:p>
    <w:p>
      <w:r>
        <w:rPr>
          <w:i/>
          <w:color w:val="666666"/>
          <w:sz w:val="18"/>
        </w:rPr>
        <w:t>Stefanicka-Wojtas D et al.  ·  Front Public Health  ·  18.09.2026  ·  PMID 42827868</w:t>
      </w:r>
    </w:p>
    <w:p>
      <w:r>
        <w:t>Querschnittsstudie in drei polnischen Hausarztpraxen (Großstadt, Kleinstadt, ländlich) zur Impfbereitschaft, selbstberichteten Nebenwirkungen und Determinanten der Grippeimpfung.</w:t>
      </w:r>
    </w:p>
    <w:p>
      <w:r>
        <w:rPr>
          <w:b/>
        </w:rPr>
        <w:t xml:space="preserve">Ergebnis: </w:t>
      </w:r>
      <w:r>
        <w:t>Impfquoten unterschieden sich deutlich nach Wohnort (p&lt;0,001): 100% im ländlichen Zentrum vs. 73–76% in städtischen Zentren. Selbstberichtete Nebenwirkungen waren selten auf dem Land (7,1%), am häufigsten in der Großstadt (20,0%, p&lt;0,001). In adjustierten Modellen: frühere Infektionserfahrung und respiratorische Komorbiditäten hingen mit höheren Odds für Grippe- (OR 11,0; 3,9) und COVID-19-Impfung (OR 3,6; 2,8) zusammen. Dies zeigt, dass Vertrauen in Gesundheitssystem und Informationsverfügbarkeit stark variieren und lokale Kommunikationsstrategien nötig sind.</w:t>
      </w:r>
    </w:p>
    <w:p>
      <w:r>
        <w:rPr>
          <w:b/>
          <w:sz w:val="19"/>
        </w:rPr>
        <w:t xml:space="preserve">Übertragbarkeit: </w:t>
      </w:r>
      <w:r>
        <w:rPr>
          <w:sz w:val="19"/>
        </w:rPr>
        <w:t>Polen, europäisches Primärversorgungssystem, direkt vergleichbar mit Deutschland</w:t>
      </w:r>
    </w:p>
    <w:p>
      <w:r>
        <w:rPr>
          <w:color w:val="5A7D3A"/>
          <w:sz w:val="18"/>
        </w:rPr>
        <w:t>https://pubmed.ncbi.nlm.nih.gov/42827868/</w:t>
      </w:r>
    </w:p>
    <w:p>
      <w:pPr>
        <w:pStyle w:val="Heading2"/>
      </w:pPr>
      <w:r>
        <w:t>Mütterliche RSV-Impfung schützt Säuglinge vor schweren Atemwegsinfektionen – Metaanalyse</w:t>
      </w:r>
    </w:p>
    <w:p>
      <w:r>
        <w:rPr>
          <w:i/>
          <w:color w:val="666666"/>
          <w:sz w:val="18"/>
        </w:rPr>
        <w:t>Kucukbas Ozonder GN et al.  ·  Front Public Health  ·  18.09.2026  ·  PMID 42827513</w:t>
      </w:r>
    </w:p>
    <w:p>
      <w:r>
        <w:t>Systematische Übersicht und Metaanalyse von 24 Studien (9 RCTs, 15 Beobachtungsstudien) zur Wirksamkeit maternaler RSV-Impfung gegen Säuglings-Bronchiolitis.</w:t>
      </w:r>
    </w:p>
    <w:p>
      <w:r>
        <w:rPr>
          <w:b/>
        </w:rPr>
        <w:t xml:space="preserve">Ergebnis: </w:t>
      </w:r>
      <w:r>
        <w:t>Gepoolte Impfeffektivität gegen RSV-assoziierte Krankenhauseinweisung 79,7% (95% KI 73,9–84,2) in den ersten 3 Monaten, 68,1% (57,1–76,3) bis 6 Monate. Randomisierte Effizienz gegen schwere RSV-LRTI 70%, gegen ärztlich behandelte RSV-LRTI 51,5% (36,3–63,1). Preterm-Geburten modest erhöht in RCTs (RR 1,17), aber Signal nicht robust. Evidenzsicherheit moderat.</w:t>
      </w:r>
    </w:p>
    <w:p>
      <w:r>
        <w:rPr>
          <w:b/>
          <w:sz w:val="19"/>
        </w:rPr>
        <w:t xml:space="preserve">Übertragbarkeit: </w:t>
      </w:r>
      <w:r>
        <w:rPr>
          <w:sz w:val="19"/>
        </w:rPr>
        <w:t>Randomisierte und reale Daten zeigen Übereinstimmung, international übertragbar</w:t>
      </w:r>
    </w:p>
    <w:p>
      <w:r>
        <w:rPr>
          <w:color w:val="5A7D3A"/>
          <w:sz w:val="18"/>
        </w:rPr>
        <w:t>https://pubmed.ncbi.nlm.nih.gov/42827513/</w:t>
      </w:r>
    </w:p>
    <w:p>
      <w:pPr>
        <w:pStyle w:val="Heading2"/>
      </w:pPr>
      <w:r>
        <w:t>Psychologische Faktoren bei Impfskepsis: Neuer Fragebogen zur Messung (PF-HBQ)</w:t>
      </w:r>
    </w:p>
    <w:p>
      <w:r>
        <w:rPr>
          <w:i/>
          <w:color w:val="666666"/>
          <w:sz w:val="18"/>
        </w:rPr>
        <w:t>De Biase R et al.  ·  Front Public Health  ·  18.09.2026  ·  PMID 42827459</w:t>
      </w:r>
    </w:p>
    <w:p>
      <w:r>
        <w:t>Psychometrische Entwicklung und Validierung des Psychological Factors in Healthcare Behavior Questionnaire (PF-HBQ) zur Erfassung psychologischer Einflussfaktoren auf Impfentscheidungen.</w:t>
      </w:r>
    </w:p>
    <w:p>
      <w:r>
        <w:rPr>
          <w:b/>
        </w:rPr>
        <w:t xml:space="preserve">Ergebnis: </w:t>
      </w:r>
      <w:r>
        <w:t>Zwei Studien: Study 1 (N=472) bestätigte 9 psychologische Faktoren (Misstrauen, Distress, Extraversion, Offenheit, Prokrastination, depressive Symptome, posttraumatische Symptome, zwanghafte Züge, emotionale Stabilität) mit guter Reliabilität. Study 2 (N=192) zeigte signifikante Unterschiede zwischen Impfskeptikern und Nicht-Skeptikern. PF-HBQ ist zuverlässiges Werkzeug zur Charakterisierung psychologischer Profile bei Impfentscheidungen.</w:t>
      </w:r>
    </w:p>
    <w:p>
      <w:r>
        <w:rPr>
          <w:b/>
          <w:sz w:val="19"/>
        </w:rPr>
        <w:t xml:space="preserve">Übertragbarkeit: </w:t>
      </w:r>
      <w:r>
        <w:rPr>
          <w:sz w:val="19"/>
        </w:rPr>
        <w:t>Italien, psychometrisches Instrument, kulturübergreifend adaptierbar</w:t>
      </w:r>
    </w:p>
    <w:p>
      <w:r>
        <w:rPr>
          <w:color w:val="5A7D3A"/>
          <w:sz w:val="18"/>
        </w:rPr>
        <w:t>https://pubmed.ncbi.nlm.nih.gov/42827459/</w:t>
      </w:r>
    </w:p>
    <w:p>
      <w:pPr>
        <w:pStyle w:val="Heading1"/>
      </w:pPr>
      <w:r>
        <w:t>Aufgenommen am 04.10.2026</w:t>
      </w:r>
    </w:p>
    <w:p>
      <w:pPr>
        <w:pStyle w:val="Heading2"/>
      </w:pPr>
      <w:r>
        <w:t>Impfverantwortung in Familie und System: Wie russische Mütter Impfentscheidungen treffen</w:t>
      </w:r>
    </w:p>
    <w:p>
      <w:r>
        <w:rPr>
          <w:i/>
          <w:color w:val="666666"/>
          <w:sz w:val="18"/>
        </w:rPr>
        <w:t>Borozdina E  ·  Sociol Health Illn  ·  Nov. 2026  ·  PMID 42823783</w:t>
      </w:r>
    </w:p>
    <w:p>
      <w:r>
        <w:t>Qualitative Interviews mit impfskeptischen russischen Müttern zeigten, dass Impfentscheidungen nicht individuell getroffen werden, sondern eingebettet sind in Familiennetzwerke und durch unzureichende institutionelle Unterstützung bei hoher Eigenverantwortung geprägt sind.</w:t>
      </w:r>
    </w:p>
    <w:p>
      <w:r>
        <w:rPr>
          <w:b/>
        </w:rPr>
        <w:t xml:space="preserve">Ergebnis: </w:t>
      </w:r>
      <w:r>
        <w:t>Impfskepsis entsteht nicht primär aus individualistischer Haltung, sondern aus dem Misstrauen gegenüber Institutionen, die Eigenverantwortung verlangen ohne sie zu unterstützen; familiäre Netzwerke sind zentral für Entscheidungsfindung.</w:t>
      </w:r>
    </w:p>
    <w:p>
      <w:r>
        <w:rPr>
          <w:b/>
          <w:sz w:val="19"/>
        </w:rPr>
        <w:t xml:space="preserve">Übertragbarkeit: </w:t>
      </w:r>
      <w:r>
        <w:rPr>
          <w:sz w:val="19"/>
        </w:rPr>
        <w:t>Russland – System mit neoliberalen Tendenzen und Staatskontrolle, teilweise vergleichbar zu osteuropäischen Transformationsgesellschaften</w:t>
      </w:r>
    </w:p>
    <w:p>
      <w:r>
        <w:rPr>
          <w:color w:val="5A7D3A"/>
          <w:sz w:val="18"/>
        </w:rPr>
        <w:t>https://pubmed.ncbi.nlm.nih.gov/42823783/</w:t>
      </w:r>
    </w:p>
    <w:p>
      <w:pPr>
        <w:pStyle w:val="Heading2"/>
      </w:pPr>
      <w:r>
        <w:t>Guillain-Barré-Syndrom nach RSV-Vakzinierung: Fallbericht und diagnostische Lektionen</w:t>
      </w:r>
    </w:p>
    <w:p>
      <w:r>
        <w:rPr>
          <w:i/>
          <w:color w:val="666666"/>
          <w:sz w:val="18"/>
        </w:rPr>
        <w:t>Hreiz S et al.  ·  BMJ Case Rep  ·  01.10.2026  ·  PMID 42823139</w:t>
      </w:r>
    </w:p>
    <w:p>
      <w:r>
        <w:t>Fallbericht einer älteren Patientin mit Guillain-Barré-Syndrom zwei Wochen nach RSV-Impfung, die zunächst fehldiagnostiziert wurde, intensive Behandlung mit IVIG erforderte und sich nur partiell erholte.</w:t>
      </w:r>
    </w:p>
    <w:p>
      <w:r>
        <w:rPr>
          <w:b/>
        </w:rPr>
        <w:t xml:space="preserve">Ergebnis: </w:t>
      </w:r>
      <w:r>
        <w:t>Ein dokumentierter Fall eines Guillain-Barré-Syndroms mit zeitlichem Zusammenhang zur RSV-Vakzinierung; seltene, aber wichtige Nebenwirkung, die Notwendigkeit serieller klinischer Beurteilung und früher Eskalation unterstreicht.</w:t>
      </w:r>
    </w:p>
    <w:p>
      <w:r>
        <w:rPr>
          <w:b/>
          <w:sz w:val="19"/>
        </w:rPr>
        <w:t xml:space="preserve">Übertragbarkeit: </w:t>
      </w:r>
      <w:r>
        <w:rPr>
          <w:sz w:val="19"/>
        </w:rPr>
        <w:t>Großbritannien – vergleichbares Gesundheitssystem, Vigilanzmeldung in europäischer Sicherheitsüberwachung relevant</w:t>
      </w:r>
    </w:p>
    <w:p>
      <w:r>
        <w:rPr>
          <w:color w:val="5A7D3A"/>
          <w:sz w:val="18"/>
        </w:rPr>
        <w:t>https://pubmed.ncbi.nlm.nih.gov/42823139/</w:t>
      </w:r>
    </w:p>
    <w:p>
      <w:pPr>
        <w:pStyle w:val="Heading2"/>
      </w:pPr>
      <w:r>
        <w:t>Hepatitis-B-Impfantwortraten bei Hämodialysepatienten: Prädiktoren und Responderraten</w:t>
      </w:r>
    </w:p>
    <w:p>
      <w:r>
        <w:rPr>
          <w:i/>
          <w:color w:val="666666"/>
          <w:sz w:val="18"/>
        </w:rPr>
        <w:t>Gupta RD et al.  ·  Mymensingh Med J  ·  Okt. 2026  ·  PMID 42811835</w:t>
      </w:r>
    </w:p>
    <w:p>
      <w:r>
        <w:t>Querschnittstudie mit 50 Hämodialysepatienten in Bangladesch zur Messung von Anti-HBs-Titern nach Hepatitis-B-Impfung und Identifikation von Prädiktoren der Impfantwort.</w:t>
      </w:r>
    </w:p>
    <w:p>
      <w:r>
        <w:rPr>
          <w:b/>
        </w:rPr>
        <w:t xml:space="preserve">Ergebnis: </w:t>
      </w:r>
      <w:r>
        <w:t>Gesamtansprechquote 64%: 38% Hochresponder (Anti-HBs ≥100 mIU/ml), 26% schwache Responder (≥10 bis &lt;100 mIU/ml), 36% Nicht-Responder (&lt;10 mIU/ml); Alter &gt;50 Jahre, Diabetes und niedriges Serumalbmin waren signifikante Prädiktoren für schwache/keine Antwort (p&lt;0,05).</w:t>
      </w:r>
    </w:p>
    <w:p>
      <w:r>
        <w:rPr>
          <w:b/>
          <w:sz w:val="19"/>
        </w:rPr>
        <w:t xml:space="preserve">Übertragbarkeit: </w:t>
      </w:r>
      <w:r>
        <w:rPr>
          <w:sz w:val="19"/>
        </w:rPr>
        <w:t>Bangladesch – ähnliche Dialysepopulation, generalisierbar auf Hochrisikogruppen mit Malnutrition</w:t>
      </w:r>
    </w:p>
    <w:p>
      <w:r>
        <w:rPr>
          <w:color w:val="5A7D3A"/>
          <w:sz w:val="18"/>
        </w:rPr>
        <w:t>https://pubmed.ncbi.nlm.nih.gov/42811835/</w:t>
      </w:r>
    </w:p>
    <w:p>
      <w:pPr>
        <w:pStyle w:val="Heading2"/>
      </w:pPr>
      <w:r>
        <w:t>COVID-19-Impfeffektivität unter Alltagsbedingungen: Direkte und indirekte Effekte in Victoria, Australien</w:t>
      </w:r>
    </w:p>
    <w:p>
      <w:r>
        <w:rPr>
          <w:i/>
          <w:color w:val="666666"/>
          <w:sz w:val="18"/>
        </w:rPr>
        <w:t>Lin L et al.  ·  J R Soc Interface  ·  30.09.2026  ·  PMID 42811612</w:t>
      </w:r>
    </w:p>
    <w:p>
      <w:r>
        <w:t>Bevölkerungsbasierte Modellstudie mit 6,44 Millionen Einwohnern Victorias zur Quantifizierung der direkten und indirekten (Herden-)Schutzeffekte von COVID-19-Impfung während der Delta-Welle 2021.</w:t>
      </w:r>
    </w:p>
    <w:p>
      <w:r>
        <w:rPr>
          <w:b/>
        </w:rPr>
        <w:t xml:space="preserve">Ergebnis: </w:t>
      </w:r>
      <w:r>
        <w:t>Konservativ geschätzt: 315.000 Infektionen (95% BCI: 231k–406k), 33.400 Hospitalisierungen (95% BCI: 22k–46k) und 4.900 Todesfälle (95% BCI: 2,8k–7,2k) vermieden; diese Zahlen sind 4,0–, 7,5– und 8,0-fach höher als die beobachtete Fallzahl. Etwa die Hälfte der vermiedenen Infektionen und ein Viertel der Hospitalisierungen/Todesfälle gingen auf indirekten Schutz zurück.</w:t>
      </w:r>
    </w:p>
    <w:p>
      <w:r>
        <w:rPr>
          <w:b/>
          <w:sz w:val="19"/>
        </w:rPr>
        <w:t xml:space="preserve">Übertragbarkeit: </w:t>
      </w:r>
      <w:r>
        <w:rPr>
          <w:sz w:val="19"/>
        </w:rPr>
        <w:t>Australien – ähnliche Impfinfrastruktur wie Westeuropa, Bevölkerungsdaten robust</w:t>
      </w:r>
    </w:p>
    <w:p>
      <w:r>
        <w:rPr>
          <w:color w:val="5A7D3A"/>
          <w:sz w:val="18"/>
        </w:rPr>
        <w:t>https://pubmed.ncbi.nlm.nih.gov/42811612/</w:t>
      </w:r>
    </w:p>
    <w:p>
      <w:pPr>
        <w:pStyle w:val="Heading2"/>
      </w:pPr>
      <w:r>
        <w:t>HPV-Impfwissen und -akzeptanz bei Studierenden in Malaysia: Lücken trotz positiver Einstellung</w:t>
      </w:r>
    </w:p>
    <w:p>
      <w:r>
        <w:rPr>
          <w:i/>
          <w:color w:val="666666"/>
          <w:sz w:val="18"/>
        </w:rPr>
        <w:t>Lim MSH et al.  ·  Asian Pac J Cancer Prev  ·  01.09.2026  ·  PMID 42808405</w:t>
      </w:r>
    </w:p>
    <w:p>
      <w:r>
        <w:t>Querschnittstudie mit 382 Undergraduate-Studierenden in Sarawak zur Erhebung von HPV-Wissen, Einstellungen und Impfquoten; 55% waren ungeimpft.</w:t>
      </w:r>
    </w:p>
    <w:p>
      <w:r>
        <w:rPr>
          <w:b/>
        </w:rPr>
        <w:t xml:space="preserve">Ergebnis: </w:t>
      </w:r>
      <w:r>
        <w:t>HPV-Wissen moderat: Studierende aus Gesundheitsfachrichtungen zeigten höheres Wissen (aOR 2,0, 95% CI 1,1–3,5); Geimpfte hatten signifikant höheres Wissen (aOR 1,9, 95% CI 1,2–3,0). Einstellungen überwiegend positiv, aber Bedenken bezüglich Kosten, Sicherheit und sozialer Stigmatisierung blieben bestehen.</w:t>
      </w:r>
    </w:p>
    <w:p>
      <w:r>
        <w:rPr>
          <w:b/>
          <w:sz w:val="19"/>
        </w:rPr>
        <w:t xml:space="preserve">Übertragbarkeit: </w:t>
      </w:r>
      <w:r>
        <w:rPr>
          <w:sz w:val="19"/>
        </w:rPr>
        <w:t>Malaysia – mittleres Einkommen, nationales HPV-Programm, ähnliche schulische Erreichbarkeit wie Schwellenländer</w:t>
      </w:r>
    </w:p>
    <w:p>
      <w:r>
        <w:rPr>
          <w:color w:val="5A7D3A"/>
          <w:sz w:val="18"/>
        </w:rPr>
        <w:t>https://pubmed.ncbi.nlm.nih.gov/42808405/</w:t>
      </w:r>
    </w:p>
    <w:p>
      <w:pPr>
        <w:pStyle w:val="Heading2"/>
      </w:pPr>
      <w:r>
        <w:t>Masernimpfversagen bei Reiserückkehrern: Zwei Fallbeispiele aus Deutschland</w:t>
      </w:r>
    </w:p>
    <w:p>
      <w:r>
        <w:rPr>
          <w:i/>
          <w:color w:val="666666"/>
          <w:sz w:val="18"/>
        </w:rPr>
        <w:t>Schnell AP et al.  ·  Inn Med (Heidelb)  ·  08.09.2026  ·  PMID 42709141</w:t>
      </w:r>
    </w:p>
    <w:p>
      <w:r>
        <w:t>Fallbericht von zwei Masernpatienten nach Auslandsreisen, davon einer mit primärem Impfversagen nach Einfachimpfung mit schwerer Pneumonitis und einer mit sekundärem Impfversagen und atypischem Exanthem bei vermuteter Immundefizienz.</w:t>
      </w:r>
    </w:p>
    <w:p>
      <w:r>
        <w:rPr>
          <w:b/>
        </w:rPr>
        <w:t xml:space="preserve">Ergebnis: </w:t>
      </w:r>
      <w:r>
        <w:t>Zwei dokumentierte Masernfälle in Deutschland trotz Impfung – ein Fall mit primärem, einer mit sekundärem Impfversagen; Masern bleiben relevante Differenzialdiagnose auch bei Geimpften, reisemedizinische Beratung sollte Impfstatus erfassen.</w:t>
      </w:r>
    </w:p>
    <w:p>
      <w:r>
        <w:rPr>
          <w:b/>
          <w:sz w:val="19"/>
        </w:rPr>
        <w:t xml:space="preserve">Übertragbarkeit: </w:t>
      </w:r>
      <w:r>
        <w:rPr>
          <w:sz w:val="19"/>
        </w:rPr>
        <w:t>Deutsche Klinikdaten mit reisemedizinischem Bezug und Impfversagensursachen klinisch relevant</w:t>
      </w:r>
    </w:p>
    <w:p>
      <w:r>
        <w:rPr>
          <w:color w:val="5A7D3A"/>
          <w:sz w:val="18"/>
        </w:rPr>
        <w:t>https://pubmed.ncbi.nlm.nih.gov/42709141/</w:t>
      </w:r>
    </w:p>
    <w:p>
      <w:pPr>
        <w:pStyle w:val="Heading1"/>
      </w:pPr>
      <w:r>
        <w:t>Aufgenommen am 03.10.2026</w:t>
      </w:r>
    </w:p>
    <w:p>
      <w:pPr>
        <w:pStyle w:val="Heading2"/>
      </w:pPr>
      <w:r>
        <w:t>Impfquoten bei erwachsenen Diabetespatienten auf den Philippinen: Impfhürden und Chancen</w:t>
      </w:r>
    </w:p>
    <w:p>
      <w:r>
        <w:rPr>
          <w:i/>
          <w:color w:val="666666"/>
          <w:sz w:val="18"/>
        </w:rPr>
        <w:t>Jacobo RJB et al.  ·  Hum Vaccin Immunother  ·  02.10.2026  ·  PMID 42826175</w:t>
      </w:r>
    </w:p>
    <w:p>
      <w:r>
        <w:t>Querschnittstudie mit 284 philippinischen Erwachsenen mit Diabetes zur Erfassung von Impfquoten gegen Influenza, Pneumokokken, Herpes zoster, Hepatitis B, Tetanus und COVID-19 sowie Prädiktoren für Impfung.</w:t>
      </w:r>
    </w:p>
    <w:p>
      <w:r>
        <w:rPr>
          <w:b/>
        </w:rPr>
        <w:t xml:space="preserve">Ergebnis: </w:t>
      </w:r>
      <w:r>
        <w:t>Impfquoten: Influenza 44,4 %, Pneumokokken 49,6 %, Herpes zoster 18,1 %, Hepatitis B 15,5 %, Td/Tdap 23,2 %, COVID-19 97,9 %. Männliches Geschlecht, niedrigeres Alter und niedrigeres Einkommen waren mit niedrigeren Quoten assoziiert. Ärztliche Empfehlung war stärkster Prädiktor für alle Impfungen. Häufigste Gründe für Nicht-Impfung: fehlende Empfehlung (62–82 %), finanzielle Hürden (36–52 %), Impfen nicht als Priorität.</w:t>
      </w:r>
    </w:p>
    <w:p>
      <w:r>
        <w:rPr>
          <w:b/>
          <w:sz w:val="19"/>
        </w:rPr>
        <w:t xml:space="preserve">Übertragbarkeit: </w:t>
      </w:r>
      <w:r>
        <w:rPr>
          <w:sz w:val="19"/>
        </w:rPr>
        <w:t>Niedrig-mittleres Einkommen; Befunde zu Barrierenadressierung auf DACH begrenzt übertragbar</w:t>
      </w:r>
    </w:p>
    <w:p>
      <w:r>
        <w:rPr>
          <w:color w:val="5A7D3A"/>
          <w:sz w:val="18"/>
        </w:rPr>
        <w:t>https://pubmed.ncbi.nlm.nih.gov/42826175/</w:t>
      </w:r>
    </w:p>
    <w:p>
      <w:pPr>
        <w:pStyle w:val="Heading2"/>
      </w:pPr>
      <w:r>
        <w:t>Influenza-Impfeffektivität bei älteren Erwachsenen während Delta-Dominanz in China 2024–2025</w:t>
      </w:r>
    </w:p>
    <w:p>
      <w:r>
        <w:rPr>
          <w:i/>
          <w:color w:val="666666"/>
          <w:sz w:val="18"/>
        </w:rPr>
        <w:t>Liu X et al.  ·  BMC Geriatr  ·  25.07.2026  ·  PMID 42823662</w:t>
      </w:r>
    </w:p>
    <w:p>
      <w:r>
        <w:t>Multizenter Test-Negativ-Studie mit 4.694 älteren Patienten (≥60 Jahre) in der Provinz Zhejiang zur Messung der Impfeffektivität gegen A(H1N1)pdm09 unter Routinebedingungen.</w:t>
      </w:r>
    </w:p>
    <w:p>
      <w:r>
        <w:rPr>
          <w:b/>
        </w:rPr>
        <w:t xml:space="preserve">Ergebnis: </w:t>
      </w:r>
      <w:r>
        <w:t>Gesamteffektivität 53,3 % (95%-KI 45,4–60,2), nach Altersgruppe 56,9 % (60–69 Jahre), 51,2 % (70–79 Jahre), 57,7 % (≥80 Jahre). Effektivität gegen Hospitalisierung 53,9 % (95%-KI 37,3–66,0), gegen moderate bis schwere Influenza 68,8 % (95%-KI 50,0–80,6). Schutz sank von 58,0 % (37–71 Tage post-vakzination) auf 42,8 % (60–180 Tage). Impfquote 32,7 %.</w:t>
      </w:r>
    </w:p>
    <w:p>
      <w:r>
        <w:rPr>
          <w:b/>
          <w:sz w:val="19"/>
        </w:rPr>
        <w:t xml:space="preserve">Übertragbarkeit: </w:t>
      </w:r>
      <w:r>
        <w:rPr>
          <w:sz w:val="19"/>
        </w:rPr>
        <w:t>China-Studie; Labor-Bestätigung und Test-Negativ-Design sind übertragbar</w:t>
      </w:r>
    </w:p>
    <w:p>
      <w:r>
        <w:rPr>
          <w:color w:val="5A7D3A"/>
          <w:sz w:val="18"/>
        </w:rPr>
        <w:t>https://pubmed.ncbi.nlm.nih.gov/42823662/</w:t>
      </w:r>
    </w:p>
    <w:p>
      <w:pPr>
        <w:pStyle w:val="Heading2"/>
      </w:pPr>
      <w:r>
        <w:t>CAR-T-Therapie versus allogene Stammzelltransplantation bei refraktärem großzelligem B-Lymphom</w:t>
      </w:r>
    </w:p>
    <w:p>
      <w:r>
        <w:rPr>
          <w:i/>
          <w:color w:val="666666"/>
          <w:sz w:val="18"/>
        </w:rPr>
        <w:t>Maulhardt M et al.  ·  Clin Lymphoma Myeloma Leuk  ·  07.08.2026  ·  PMID 42686451</w:t>
      </w:r>
    </w:p>
    <w:p>
      <w:r>
        <w:t>Retrospektive Auswertung von 187 Patienten mit refraktärem großzelligem B-Lymphom, die entweder CAR-T-Zelltherapie (Axicabtagene Ciloleucel) oder allogene Transplantation erhielten, zur Vergleichbarkeit von Überleben und Nebenwirkungen.</w:t>
      </w:r>
    </w:p>
    <w:p>
      <w:r>
        <w:rPr>
          <w:b/>
        </w:rPr>
        <w:t xml:space="preserve">Ergebnis: </w:t>
      </w:r>
      <w:r>
        <w:t>12-Monats-progressionsfreies Überleben 50,1 % (CAR-T) vs. 33,8 % (Transplantation, p&lt;0,05); 12-Monats-Gesamtüberleben 60,5 % vs. 43,2 % (p&lt;0,05). Nicht-Rezidiv-Mortalität deutlich höher nach Transplantation (36 % vs. 12 %, p&lt;0,001), hauptsächlich durch Infektionen und Graft-versus-Host-Erkrankung. CAR-T zeigte Überlebensvorteil durch niedrigere Behandlungsmortalität.</w:t>
      </w:r>
    </w:p>
    <w:p>
      <w:r>
        <w:rPr>
          <w:b/>
          <w:sz w:val="19"/>
        </w:rPr>
        <w:t xml:space="preserve">Übertragbarkeit: </w:t>
      </w:r>
      <w:r>
        <w:rPr>
          <w:sz w:val="19"/>
        </w:rPr>
        <w:t>Deutsches Single-Center-Register mit vergleichbarem Versicherungssystem</w:t>
      </w:r>
    </w:p>
    <w:p>
      <w:r>
        <w:rPr>
          <w:color w:val="5A7D3A"/>
          <w:sz w:val="18"/>
        </w:rPr>
        <w:t>https://pubmed.ncbi.nlm.nih.gov/42686451/</w:t>
      </w:r>
    </w:p>
    <w:p>
      <w:pPr>
        <w:pStyle w:val="Heading2"/>
      </w:pPr>
      <w:r>
        <w:t>Attenuierter Influenzaimpfstoff erhöht Pneumokokken-Besiedlung und Übertragung in Haushalten</w:t>
      </w:r>
    </w:p>
    <w:p>
      <w:r>
        <w:rPr>
          <w:i/>
          <w:color w:val="666666"/>
          <w:sz w:val="18"/>
        </w:rPr>
        <w:t>Metz J et al.  ·  Lancet Microbe  ·  18.08.2026  ·  PMID 42612652</w:t>
      </w:r>
    </w:p>
    <w:p>
      <w:r>
        <w:t>Randomisierte UK-Studie mit 405 Familien (1.379 Personen), die untersuchte, ob der lebendabgeschwächte Influenzaimpfstoff bei Kleinkindern die Dichte von Streptococcus-pneumoniae-Besiedlung und deren Übertragung auf Haushaltskontakte erhöht.</w:t>
      </w:r>
    </w:p>
    <w:p>
      <w:r>
        <w:rPr>
          <w:b/>
        </w:rPr>
        <w:t xml:space="preserve">Ergebnis: </w:t>
      </w:r>
      <w:r>
        <w:t>Bei geimpften Kindern 2,5-fach erhöhte Odds für Anstieg der Pneumokokken-Dichte nach 14 Tagen (95%-KI 1,5–4,3, p=0,0008) und 2,0-fach erhöhte Odds für Pneumokokken-Erwerb bei Haushaltskonten (95%-KI 1,2–3,5, p=0,015). Effekte weitgehend abgeklungen bis Tag 28. Impfquote bei Studienende 96 %, Studienvollendung 96 %.</w:t>
      </w:r>
    </w:p>
    <w:p>
      <w:r>
        <w:rPr>
          <w:b/>
          <w:sz w:val="19"/>
        </w:rPr>
        <w:t xml:space="preserve">Übertragbarkeit: </w:t>
      </w:r>
      <w:r>
        <w:rPr>
          <w:sz w:val="19"/>
        </w:rPr>
        <w:t>UK-Register mit vergleichbarer Haushaltsstruktur, Übertragbarkeit auf Deutschland eingeschränkt</w:t>
      </w:r>
    </w:p>
    <w:p>
      <w:r>
        <w:rPr>
          <w:color w:val="5A7D3A"/>
          <w:sz w:val="18"/>
        </w:rPr>
        <w:t>https://pubmed.ncbi.nlm.nih.gov/42612652/</w:t>
      </w:r>
    </w:p>
    <w:p>
      <w:pPr>
        <w:pStyle w:val="Heading2"/>
      </w:pPr>
      <w:r>
        <w:t>Frühe CAR-T-Intensivierung bei hochrisiko-Mantelzelllymphom: CARMAN-Protokoll</w:t>
      </w:r>
    </w:p>
    <w:p>
      <w:r>
        <w:rPr>
          <w:i/>
          <w:color w:val="666666"/>
          <w:sz w:val="18"/>
        </w:rPr>
        <w:t>Tilch MK et al.  ·  BMC Cancer  ·  11.08.2026  ·  PMID 42581349</w:t>
      </w:r>
    </w:p>
    <w:p>
      <w:r>
        <w:t>Randomisierte Phase-II-Studie zur Prüfung, ob eine Verkürzung der Induktionschemotherapie gefolgt von CAR-T-Zelltherapie das Überleben bei hochrisiko-Mantelzelllymphom verbessert – als Alternative zu Standardtherapie.</w:t>
      </w:r>
    </w:p>
    <w:p>
      <w:r>
        <w:rPr>
          <w:b/>
        </w:rPr>
        <w:t xml:space="preserve">Ergebnis: </w:t>
      </w:r>
      <w:r>
        <w:t>Rekrutierung 2026 abgeschlossen; 150 Patienten aus 5 europäischen Ländern randomisiert 1:1. Primärer Endpunkt ist ‚Failure-free survival'; Sekundärendpunkte umfassen Gesamtresponserate, komplette Remissionsrate, Sicherheit und Lebensqualität. Ergebnisse stehen aus.</w:t>
      </w:r>
    </w:p>
    <w:p>
      <w:r>
        <w:rPr>
          <w:b/>
          <w:sz w:val="19"/>
        </w:rPr>
        <w:t xml:space="preserve">Übertragbarkeit: </w:t>
      </w:r>
      <w:r>
        <w:rPr>
          <w:sz w:val="19"/>
        </w:rPr>
        <w:t>Multizenter europäische Studie mit vergleichbarem Gesundheitssystem</w:t>
      </w:r>
    </w:p>
    <w:p>
      <w:r>
        <w:rPr>
          <w:color w:val="5A7D3A"/>
          <w:sz w:val="18"/>
        </w:rPr>
        <w:t>https://pubmed.ncbi.nlm.nih.gov/42581349/</w:t>
      </w:r>
    </w:p>
    <w:p>
      <w:pPr>
        <w:pStyle w:val="Heading2"/>
      </w:pPr>
      <w:r>
        <w:t>Wirtschaftliche Präferenzen vorhersagen COVID-19-Impfabsicht und Verhalten</w:t>
      </w:r>
    </w:p>
    <w:p>
      <w:r>
        <w:rPr>
          <w:i/>
          <w:color w:val="666666"/>
          <w:sz w:val="18"/>
        </w:rPr>
        <w:t>Angerer S et al.  ·  Health Econ  ·  30.07.2026  ·  PMID 42533263</w:t>
      </w:r>
    </w:p>
    <w:p>
      <w:r>
        <w:t>Bevölkerungsstudie mit &gt;5.000 Personen in Deutschland, die die Beziehung zwischen Temperament (Altruismus, Geduld, Risikobereitschaft, Vertrauen) und COVID-19-Impfbereitschaft untersuchte.</w:t>
      </w:r>
    </w:p>
    <w:p>
      <w:r>
        <w:rPr>
          <w:b/>
        </w:rPr>
        <w:t xml:space="preserve">Ergebnis: </w:t>
      </w:r>
      <w:r>
        <w:t>Robuste positive Assoziationen zwischen Impfbereitschaft und Geduld sowie Vertrauen. Altruismus zeigte positive Beziehung zur Impfbereitschaft, die jedoch bei Kontrolle anderer Präferenzen verschwand. Risikobereitschaft zeigte keine konsistenten Effekte. Befunde unterstreichen Bedeutung von Vertrauen und zeitlichem Denken für Impfentscheidungen.</w:t>
      </w:r>
    </w:p>
    <w:p>
      <w:r>
        <w:rPr>
          <w:b/>
          <w:sz w:val="19"/>
        </w:rPr>
        <w:t xml:space="preserve">Übertragbarkeit: </w:t>
      </w:r>
      <w:r>
        <w:rPr>
          <w:sz w:val="19"/>
        </w:rPr>
        <w:t>Deutsche Bevölkerungsstichprobe, direkt auf deutsches Gesundheitssystem übertragbar</w:t>
      </w:r>
    </w:p>
    <w:p>
      <w:r>
        <w:rPr>
          <w:color w:val="5A7D3A"/>
          <w:sz w:val="18"/>
        </w:rPr>
        <w:t>https://pubmed.ncbi.nlm.nih.gov/42533263/</w:t>
      </w:r>
    </w:p>
    <w:p>
      <w:pPr>
        <w:pStyle w:val="Heading1"/>
      </w:pPr>
      <w:r>
        <w:t>Aufgenommen am 02.10.2026</w:t>
      </w:r>
    </w:p>
    <w:p>
      <w:pPr>
        <w:pStyle w:val="Heading2"/>
      </w:pPr>
      <w:r>
        <w:t>COVID-19-Auffrischungsimpfung reduzierte Rehospitalisierungsrisiko um 39 Prozent</w:t>
      </w:r>
    </w:p>
    <w:p>
      <w:r>
        <w:rPr>
          <w:i/>
          <w:color w:val="666666"/>
          <w:sz w:val="18"/>
        </w:rPr>
        <w:t>Neves RKAD et al.  ·  PLoS One  ·  01.10.2026  ·  PMID 42821558</w:t>
      </w:r>
    </w:p>
    <w:p>
      <w:r>
        <w:t>Kohortenstudie in Rio de Janeiro untersuchte, ob Impfstatus die Rehospitalisierung wegen COVID-19-Reinfektionen zwischen 2020 und 2022 beeinflusste.</w:t>
      </w:r>
    </w:p>
    <w:p>
      <w:r>
        <w:rPr>
          <w:b/>
        </w:rPr>
        <w:t xml:space="preserve">Ergebnis: </w:t>
      </w:r>
      <w:r>
        <w:t>Vollständige Impfung mit Auffrischung (≥3 Dosen) reduzierte das Rehospitalisierungsrisiko um 39 Prozent (sHR: 0,61; 95 %-KI: 0,52–0,73). Älteres Alter, Multimorbidität und Black race waren unabhängige Risikofaktoren. Die Herdenimmunität durch hohe Impfquoten hätte Ergebnisse um circa 25 Prozent verbessert.</w:t>
      </w:r>
    </w:p>
    <w:p>
      <w:r>
        <w:rPr>
          <w:b/>
          <w:sz w:val="19"/>
        </w:rPr>
        <w:t xml:space="preserve">Übertragbarkeit: </w:t>
      </w:r>
      <w:r>
        <w:rPr>
          <w:sz w:val="19"/>
        </w:rPr>
        <w:t>Brasilien, aber Effektmaß unabhängig von Systemen, Versorgungsdaten</w:t>
      </w:r>
    </w:p>
    <w:p>
      <w:r>
        <w:rPr>
          <w:color w:val="5A7D3A"/>
          <w:sz w:val="18"/>
        </w:rPr>
        <w:t>https://pubmed.ncbi.nlm.nih.gov/42821558/</w:t>
      </w:r>
    </w:p>
    <w:p>
      <w:pPr>
        <w:pStyle w:val="Heading2"/>
      </w:pPr>
      <w:r>
        <w:t>Impfverzögerungen bei Kleinkindern in Bagdad: Wissen und Verfügbarkeit als Schlüsselfaktoren</w:t>
      </w:r>
    </w:p>
    <w:p>
      <w:r>
        <w:rPr>
          <w:i/>
          <w:color w:val="666666"/>
          <w:sz w:val="18"/>
        </w:rPr>
        <w:t>Shah SSAM et al.  ·  PLoS One  ·  01.10.2026  ·  PMID 42821556</w:t>
      </w:r>
    </w:p>
    <w:p>
      <w:r>
        <w:t>Querschnittsstudie mit dokumentierten Impfkarten bei 168 Kindern (18–24 Monate) in Bagdad prüfte Zeitlichkeit und Verzögerungsgründe.</w:t>
      </w:r>
    </w:p>
    <w:p>
      <w:r>
        <w:rPr>
          <w:b/>
        </w:rPr>
        <w:t xml:space="preserve">Ergebnis: </w:t>
      </w:r>
      <w:r>
        <w:t>Nur 8,3 Prozent erhielten alle Impfungen pünktlich; 91,7 Prozent Verzögerungen (75 Prozent an mehreren Terminen). Fehlende Kenntnisse zum Impfplan (aOR: 3,85; 95 %-KI: 1,04–14,24) und wahrgenommene Impfstoffverfügbarkeit (aOR: 4,74; 95 %-KI: 1,09–20,51) waren Hauptrisiken. Keine Soziodemografika signifikant.</w:t>
      </w:r>
    </w:p>
    <w:p>
      <w:r>
        <w:rPr>
          <w:b/>
          <w:sz w:val="19"/>
        </w:rPr>
        <w:t xml:space="preserve">Übertragbarkeit: </w:t>
      </w:r>
      <w:r>
        <w:rPr>
          <w:sz w:val="19"/>
        </w:rPr>
        <w:t>Postkonflikt-Setting, aber Identifikation gestaltbarer Hindernisse (Wissen, Logistik) übertragbar</w:t>
      </w:r>
    </w:p>
    <w:p>
      <w:r>
        <w:rPr>
          <w:color w:val="5A7D3A"/>
          <w:sz w:val="18"/>
        </w:rPr>
        <w:t>https://pubmed.ncbi.nlm.nih.gov/42821556/</w:t>
      </w:r>
    </w:p>
    <w:p>
      <w:pPr>
        <w:pStyle w:val="Heading2"/>
      </w:pPr>
      <w:r>
        <w:t>Impffehler in der Primärversorgung: Systemischer Ansatz statt Individualisierung</w:t>
      </w:r>
    </w:p>
    <w:p>
      <w:r>
        <w:rPr>
          <w:i/>
          <w:color w:val="666666"/>
          <w:sz w:val="18"/>
        </w:rPr>
        <w:t>Cirino FMSB et al.  ·  Rev Bras Enferm  ·  28.09.2026  ·  PMID 42820566</w:t>
      </w:r>
    </w:p>
    <w:p>
      <w:r>
        <w:t>Reflexive Studie zur Rolle von Überlastung und prekären Arbeitsbedingungen als Systemtreiber von Impffehlern in der Primärversorgung Brasiliens.</w:t>
      </w:r>
    </w:p>
    <w:p>
      <w:r>
        <w:rPr>
          <w:b/>
        </w:rPr>
        <w:t xml:space="preserve">Ergebnis: </w:t>
      </w:r>
      <w:r>
        <w:t>Impffehler sind Ausdruck von Burnout und Überbelastung bei Pflegefachpersonen, nicht nur technische oder individuelle Versäumnisse. Prävention verlangt Systemansatz (Autonomie, Arbeitsbedingungen, kritische Reflexionsräume), nicht nur Einzelverantwortlichkeit.</w:t>
      </w:r>
    </w:p>
    <w:p>
      <w:r>
        <w:rPr>
          <w:b/>
          <w:sz w:val="19"/>
        </w:rPr>
        <w:t xml:space="preserve">Übertragbarkeit: </w:t>
      </w:r>
      <w:r>
        <w:rPr>
          <w:sz w:val="19"/>
        </w:rPr>
        <w:t>Brasilien, aber systemische Sicht auf Impfqualität gilt überall; Personalressourcen und Arbeitsbedingungen zentral</w:t>
      </w:r>
    </w:p>
    <w:p>
      <w:r>
        <w:rPr>
          <w:color w:val="5A7D3A"/>
          <w:sz w:val="18"/>
        </w:rPr>
        <w:t>https://pubmed.ncbi.nlm.nih.gov/42820566/</w:t>
      </w:r>
    </w:p>
    <w:p>
      <w:pPr>
        <w:pStyle w:val="Heading2"/>
      </w:pPr>
      <w:r>
        <w:t>HPV-Impfbereitschaft bei Eltern in China: 63 % bereit, nur 18 % tatsächlich geimpft</w:t>
      </w:r>
    </w:p>
    <w:p>
      <w:r>
        <w:rPr>
          <w:i/>
          <w:color w:val="666666"/>
          <w:sz w:val="18"/>
        </w:rPr>
        <w:t>Li Y et al.  ·  Front Public Health  ·  16.09.2026  ·  PMID 42819398</w:t>
      </w:r>
    </w:p>
    <w:p>
      <w:r>
        <w:t>Querschnittsstudie mit 506 Eltern von Schülerinnen (China) prüfte nach Theory of Planned Behavior, welche Faktoren HPV-Impfwilligkeit und tatsächliche Inanspruchnahme vorhersagen.</w:t>
      </w:r>
    </w:p>
    <w:p>
      <w:r>
        <w:rPr>
          <w:b/>
        </w:rPr>
        <w:t xml:space="preserve">Ergebnis: </w:t>
      </w:r>
      <w:r>
        <w:t>63,24 Prozent zeigten Bereitschaft, aber nur 17,98 Prozent tatsächliche Impfquote. Höhere Elternbildung, Haushaltseinkommen 5.000–10.000 RMB, Familiengeschichte Krebs und positive Einstellung waren Prädiktoren. Wahrgenommene Verhaltenskontrolle (Barrieren) zeigte negatives Pfadkoeffizient (β = –0,10, p &lt; 0,01).</w:t>
      </w:r>
    </w:p>
    <w:p>
      <w:r>
        <w:rPr>
          <w:b/>
          <w:sz w:val="19"/>
        </w:rPr>
        <w:t xml:space="preserve">Übertragbarkeit: </w:t>
      </w:r>
      <w:r>
        <w:rPr>
          <w:sz w:val="19"/>
        </w:rPr>
        <w:t>China, aber Theory of Planned Behavior universell anwendbar; Gap zwischen Bereitschaft und Umsetzung ist globales Problem</w:t>
      </w:r>
    </w:p>
    <w:p>
      <w:r>
        <w:rPr>
          <w:color w:val="5A7D3A"/>
          <w:sz w:val="18"/>
        </w:rPr>
        <w:t>https://pubmed.ncbi.nlm.nih.gov/42819398/</w:t>
      </w:r>
    </w:p>
    <w:p>
      <w:pPr>
        <w:pStyle w:val="Heading2"/>
      </w:pPr>
      <w:r>
        <w:t>Zero-Dose-Kinder in Ländern mit niedrigem Einkommen: Hausgeburten top Risikofaktor</w:t>
      </w:r>
    </w:p>
    <w:p>
      <w:r>
        <w:rPr>
          <w:i/>
          <w:color w:val="666666"/>
          <w:sz w:val="18"/>
        </w:rPr>
        <w:t>Bobo FT et al.  ·  Int J Equity Health  ·  04.08.2026  ·  PMID 42816851</w:t>
      </w:r>
    </w:p>
    <w:p>
      <w:r>
        <w:t>Sekundäranalyse von zwei DHS-Runden aus zehn Ländern mit niedrigem/unterem Einkommen prüfte Trends bei Kinder ohne Grundimmunisierung und bevölkerungszuschreibbare Risikofaktoren.</w:t>
      </w:r>
    </w:p>
    <w:p>
      <w:r>
        <w:rPr>
          <w:b/>
        </w:rPr>
        <w:t xml:space="preserve">Ergebnis: </w:t>
      </w:r>
      <w:r>
        <w:t>Zero-Dose-Prävalenz stieg in fünf Ländern signifikant (z. B. Mosambik 4,8 % auf 14,2 %, Madagaskar 13,3 % auf 18,1 %). Hausgeburt hatte höchste PAF (17,1 %; 95 %-KI: 14,1–19,6), gefolgt von &lt;4 ANC-Kontakten (8,6 %; 95 %-KI: 7,2–10,0). Reproductive Health Services kombiniert: PAF 29,4 Prozent. Vermögen-bedingte Ungleichheit überall signifikant.</w:t>
      </w:r>
    </w:p>
    <w:p>
      <w:r>
        <w:rPr>
          <w:b/>
          <w:sz w:val="19"/>
        </w:rPr>
        <w:t xml:space="preserve">Übertragbarkeit: </w:t>
      </w:r>
      <w:r>
        <w:rPr>
          <w:sz w:val="19"/>
        </w:rPr>
        <w:t>LLMIC, aber bevölkerungszuschreibbare Anteile und Kausalkettenlogik helfen Priorisierung in ähnlichen Systemen</w:t>
      </w:r>
    </w:p>
    <w:p>
      <w:r>
        <w:rPr>
          <w:color w:val="5A7D3A"/>
          <w:sz w:val="18"/>
        </w:rPr>
        <w:t>https://pubmed.ncbi.nlm.nih.gov/42816851/</w:t>
      </w:r>
    </w:p>
    <w:p>
      <w:pPr>
        <w:pStyle w:val="Heading2"/>
      </w:pPr>
      <w:r>
        <w:t>Impfskepsis in Pakistan: Mehrstufig randomisierte Surveys zeigen 33,8 Prozent Hesitancy</w:t>
      </w:r>
    </w:p>
    <w:p>
      <w:r>
        <w:rPr>
          <w:i/>
          <w:color w:val="666666"/>
          <w:sz w:val="18"/>
        </w:rPr>
        <w:t>Honghe L et al.  ·  J Epidemiol Glob Health  ·  12.08.2026  ·  PMID 42809170</w:t>
      </w:r>
    </w:p>
    <w:p>
      <w:r>
        <w:t>Querschnittsstudie mit 1.200 Teilnehmern (Pakistan, Juni–August 2021) nutzte mehrstufig stratifizierte Paired-Response-Frameworks, um Impfskepsis und Underreporting zu quantifizieren.</w:t>
      </w:r>
    </w:p>
    <w:p>
      <w:r>
        <w:rPr>
          <w:b/>
        </w:rPr>
        <w:t xml:space="preserve">Ergebnis: </w:t>
      </w:r>
      <w:r>
        <w:t>Impfskepsis wurde mit MSPRF-I auf 33,8 Prozent (vs. 24,3 % in konventionellen Befragungen) geschätzt, mit 290–399 % höherer Effizienz. Urban-rural-Unterschiede bei Offenbarungsbereitschaft, aber systematische Unterschätzung in Routineerhebungen.</w:t>
      </w:r>
    </w:p>
    <w:p>
      <w:r>
        <w:rPr>
          <w:b/>
          <w:sz w:val="19"/>
        </w:rPr>
        <w:t xml:space="preserve">Übertragbarkeit: </w:t>
      </w:r>
      <w:r>
        <w:rPr>
          <w:sz w:val="19"/>
        </w:rPr>
        <w:t>Pakistan, neue Methodik zur Erfassung von Hesitancy auch in Hochrisiko-Settings nutzbar</w:t>
      </w:r>
    </w:p>
    <w:p>
      <w:r>
        <w:rPr>
          <w:color w:val="5A7D3A"/>
          <w:sz w:val="18"/>
        </w:rPr>
        <w:t>https://pubmed.ncbi.nlm.nih.gov/42809170/</w:t>
      </w:r>
    </w:p>
    <w:p>
      <w:pPr>
        <w:pStyle w:val="Heading1"/>
      </w:pPr>
      <w:r>
        <w:t>Aufgenommen am 01.10.2026</w:t>
      </w:r>
    </w:p>
    <w:p>
      <w:pPr>
        <w:pStyle w:val="Heading2"/>
      </w:pPr>
      <w:r>
        <w:t>Impfprogramme in Konfliktzonen: intrinsischer, instrumentaler und symbolischer Wert</w:t>
      </w:r>
    </w:p>
    <w:p>
      <w:r>
        <w:rPr>
          <w:i/>
          <w:color w:val="666666"/>
          <w:sz w:val="18"/>
        </w:rPr>
        <w:t>Sabahelzain MM et al.  ·  Hum Vaccin Immunother  ·  30.09.2026  ·  PMID 42814974</w:t>
      </w:r>
    </w:p>
    <w:p>
      <w:r>
        <w:t>Qualitative Analyse, welche die Werte von Impfprogrammen in humanitären Krisen aus ethischer Perspektive untersucht und plädiert für deren Verstetigung als Frage der Gerechtigkeit.</w:t>
      </w:r>
    </w:p>
    <w:p>
      <w:r>
        <w:rPr>
          <w:b/>
        </w:rPr>
        <w:t xml:space="preserve">Ergebnis: </w:t>
      </w:r>
      <w:r>
        <w:t>Die Autoren argumentieren, dass Impfungen in Konfliktzonen über die Notfallreaktion hinaus als intrinsisch wertvoll (Menschenrecht auf Gesundheit), instrumentell wertvoll (Krankheitsvorbeugung) und symbolisch wertvoll (Vertrauenszeichen des Staates) anzusehen sind. Diese dreifache Wertigkeit rechtfertigt die Priorisierung ihrer Verstetigung zur Stärkung der Gesundheitssystemresilienz.</w:t>
      </w:r>
    </w:p>
    <w:p>
      <w:r>
        <w:rPr>
          <w:b/>
          <w:sz w:val="19"/>
        </w:rPr>
        <w:t xml:space="preserve">Übertragbarkeit: </w:t>
      </w:r>
      <w:r>
        <w:rPr>
          <w:sz w:val="19"/>
        </w:rPr>
        <w:t>Qualitatives Konzeptpapier; Übertragbarkeit hängt von nationalen Impfkalender und Sicherheitslage ab.</w:t>
      </w:r>
    </w:p>
    <w:p>
      <w:r>
        <w:rPr>
          <w:color w:val="5A7D3A"/>
          <w:sz w:val="18"/>
        </w:rPr>
        <w:t>https://pubmed.ncbi.nlm.nih.gov/42814974/</w:t>
      </w:r>
    </w:p>
    <w:p>
      <w:pPr>
        <w:pStyle w:val="Heading2"/>
      </w:pPr>
      <w:r>
        <w:t>Tollwutpostexpositionsprophylaxe im Iran: Registerdaten und Adhärenz</w:t>
      </w:r>
    </w:p>
    <w:p>
      <w:r>
        <w:rPr>
          <w:i/>
          <w:color w:val="666666"/>
          <w:sz w:val="18"/>
        </w:rPr>
        <w:t>Babaee E et al.  ·  PLoS Negl Trop Dis  ·  30.09.2026  ·  PMID 42814726</w:t>
      </w:r>
    </w:p>
    <w:p>
      <w:r>
        <w:t>Sekundäranalyse von 507.404 Tierbissvorfällen aus dem iranischen Tollwut-Impfregister (März 2022 – September 2023) zur Dokumentation der Adhärenz zu Impf- und Immunglobulin-Richtlinien.</w:t>
      </w:r>
    </w:p>
    <w:p>
      <w:r>
        <w:rPr>
          <w:b/>
        </w:rPr>
        <w:t xml:space="preserve">Ergebnis: </w:t>
      </w:r>
      <w:r>
        <w:t>73,6% Männer; häufigste Altersgruppe 31–40 Jahre (19,8%). Hunde verursachten 76,2%, Katzen 20,8% der Expositionen. Höchste Inzidenz in Nordprovinzen (North Khorasan 773/100.000, Golestan 767/100.000 Einwohner). Wundreinigung dokumentiert bei 94,3%; erste Impfdosis innerhalb 48 h bei 96,4%. Gesamte Impfserie: 68,1% erhielten drei Dosen, 24,2% vier. Immunglobulin wurde bei 95,6% der Kategorie-III-Expositionen gegeben, aber auch unangemessen bei Kategorie I (6,1%) und II (4,7%). Bei Fledermauskontakt nur 36,8% als Kategorie III klassifiziert und 38,7% mit Immunglobulin versorgt.</w:t>
      </w:r>
    </w:p>
    <w:p>
      <w:r>
        <w:rPr>
          <w:b/>
          <w:sz w:val="19"/>
        </w:rPr>
        <w:t xml:space="preserve">Übertragbarkeit: </w:t>
      </w:r>
      <w:r>
        <w:rPr>
          <w:sz w:val="19"/>
        </w:rPr>
        <w:t>Iran, Registerdaten; mittlere Übertragbarkeit auf Deutschland (unterschiedliche epidemiologische Lage).</w:t>
      </w:r>
    </w:p>
    <w:p>
      <w:r>
        <w:rPr>
          <w:color w:val="5A7D3A"/>
          <w:sz w:val="18"/>
        </w:rPr>
        <w:t>https://pubmed.ncbi.nlm.nih.gov/42814726/</w:t>
      </w:r>
    </w:p>
    <w:p>
      <w:pPr>
        <w:pStyle w:val="Heading2"/>
      </w:pPr>
      <w:r>
        <w:t>Auditive Nebenwirkungen und COVID-19-Impfung: Signalbewertung im US-VAERS</w:t>
      </w:r>
    </w:p>
    <w:p>
      <w:r>
        <w:rPr>
          <w:i/>
          <w:color w:val="666666"/>
          <w:sz w:val="18"/>
        </w:rPr>
        <w:t>Wu J et al.  ·  Front Public Health  ·  15.09.2026  ·  PMID 42812531</w:t>
      </w:r>
    </w:p>
    <w:p>
      <w:r>
        <w:t>Unterbrochene Zeitreihenanalyse von US-VAERS-Daten (2018–2025) zur Frage, ob Meldungen auditorischer Nebenwirkungen nach COVID-19-Impf-Zulassung zunahmen und ob dies einen echten Sicherheitssignal oder Meldeverzerrung widerspiegelt.</w:t>
      </w:r>
    </w:p>
    <w:p>
      <w:r>
        <w:rPr>
          <w:b/>
        </w:rPr>
        <w:t xml:space="preserve">Ergebnis: </w:t>
      </w:r>
      <w:r>
        <w:t>Von 1.347.820 Berichten betrafen 27.750 auditorische Nebenwirkungen. Nach der COVID-19-Zulassung stiegen Meldungsraten an (β=2.317,4, 95%-KI 1.079,1–3.555,6; p&lt;0,001). Quasi-Poisson-Modelle zeigten IRR von 5,62–7,36 (p≤0,015). Effekt war heterogen nach Alter: stark bei 18–64 Jahren (p=0,010) und ≥65 Jahren (p=0,0004), nicht signifikant &lt;18 Jahren (p=0,67). Dermatologie-Sentinel (Kontrolle) zeigte keine Änderung (IRR 1,09, p=0,83). Auditorische Nebenwirkungen waren in COVID-19-Berichten häufiger (2,42%) als Influenza (0,88%) oder andere Impfstoffe (0,84%).</w:t>
      </w:r>
    </w:p>
    <w:p>
      <w:r>
        <w:rPr>
          <w:b/>
          <w:sz w:val="19"/>
        </w:rPr>
        <w:t xml:space="preserve">Übertragbarkeit: </w:t>
      </w:r>
      <w:r>
        <w:rPr>
          <w:sz w:val="19"/>
        </w:rPr>
        <w:t>US-Passive-Surveillance-Daten; Übertragbarkeit auf Deutschland eingeschränkt (anderes Meldesystem).</w:t>
      </w:r>
    </w:p>
    <w:p>
      <w:r>
        <w:rPr>
          <w:color w:val="5A7D3A"/>
          <w:sz w:val="18"/>
        </w:rPr>
        <w:t>https://pubmed.ncbi.nlm.nih.gov/42812531/</w:t>
      </w:r>
    </w:p>
    <w:p>
      <w:pPr>
        <w:pStyle w:val="Heading2"/>
      </w:pPr>
      <w:r>
        <w:t>Reaktogenität mRNA- vs. proteinbasierter COVID-19-Impfstoffe 2023–2024: BEEHIVE-Studie</w:t>
      </w:r>
    </w:p>
    <w:p>
      <w:r>
        <w:rPr>
          <w:i/>
          <w:color w:val="666666"/>
          <w:sz w:val="18"/>
        </w:rPr>
        <w:t>Yoon SK et al.  ·  Hum Vaccin Immunother  ·  29.09.2026  ·  PMID 42811742</w:t>
      </w:r>
    </w:p>
    <w:p>
      <w:r>
        <w:t>Doppelblinde randomisierte Studie (NCT06065176) vergleicht Reaktogenität von Novavax (Protein) mit Pfizer-BioNTech (mRNA) XBB.1.5-Impfstoff bei Personen mit ≥2 vorherigen mRNA-Dosen.</w:t>
      </w:r>
    </w:p>
    <w:p>
      <w:r>
        <w:rPr>
          <w:b/>
        </w:rPr>
        <w:t xml:space="preserve">Ergebnis: </w:t>
      </w:r>
      <w:r>
        <w:t>Novavax (n=448) vs. Pfizer (n=453): Am Tag 1 berichteten signifikant weniger Novavax-Empfänger systemische Reaktogenität (62,1% vs. 75,7%; Risikodifferenz −13,7%, 95%-KI −19,6% bis −7,7%, p&lt;0,0001) und lokale Reaktionen (81,0% vs. 92,7%; Risikodifferenz −11,7%, 95%-KI −16,0% bis −7,3%, p&lt;0,0001). Mittlere Ereigniszahl pro Person am Tag 1 und 2 signifikant niedriger für Novavax (je p&lt;0,0001). Die meisten Ereignisse waren mild. Am Tag 6 hatten &gt;80% bzw. &gt;94% keine systemischen oder lokalen Reaktionen.</w:t>
      </w:r>
    </w:p>
    <w:p>
      <w:r>
        <w:rPr>
          <w:b/>
          <w:sz w:val="19"/>
        </w:rPr>
        <w:t xml:space="preserve">Übertragbarkeit: </w:t>
      </w:r>
      <w:r>
        <w:rPr>
          <w:sz w:val="19"/>
        </w:rPr>
        <w:t>USA-Studie, aber primär Sicherheitsfrage – übertragbar auf Deutsche Zulassungsbewertung.</w:t>
      </w:r>
    </w:p>
    <w:p>
      <w:r>
        <w:rPr>
          <w:color w:val="5A7D3A"/>
          <w:sz w:val="18"/>
        </w:rPr>
        <w:t>https://pubmed.ncbi.nlm.nih.gov/42811742/</w:t>
      </w:r>
    </w:p>
    <w:p>
      <w:pPr>
        <w:pStyle w:val="Heading2"/>
      </w:pPr>
      <w:r>
        <w:t>Hybridimmunität gegen SARS-CoV-2: Langzeitdynamik bei Angehörigen der Gesundheitsberufe</w:t>
      </w:r>
    </w:p>
    <w:p>
      <w:r>
        <w:rPr>
          <w:i/>
          <w:color w:val="666666"/>
          <w:sz w:val="18"/>
        </w:rPr>
        <w:t>Tekinsoy M et al.  ·  Viruses  ·  19.09.2026  ·  PMID 42797871</w:t>
      </w:r>
    </w:p>
    <w:p>
      <w:r>
        <w:t>Vierjährige Kohortenstudie (2020–Juni 2024) von Gesundheitsarbeitern, die zwischen Hybrid- (Infektion + Impfung) und reiner Impfimmunität unterscheidet und Antikörperhaltbarkeit bewertet.</w:t>
      </w:r>
    </w:p>
    <w:p>
      <w:r>
        <w:rPr>
          <w:b/>
        </w:rPr>
        <w:t xml:space="preserve">Ergebnis: </w:t>
      </w:r>
      <w:r>
        <w:t>142 Personen mit Längsdaten (1180 Tage Nachverfolgung): 66,2% erlebten mindestens eine Durchbruchinfektion, 14,1% zwei. Anti-N-Antikörper sanken nach Infektion 2,3-fach zwischen Monat 3 und 6; Seropositiv-Rate fiel von 82% auf 40,4% (Median bis Seronegatitivät: 179 Tage). Hybridimmunität mit zwei Dosen hatte Anti-S-IgG und sVNT-Titer vergleichbar mit drei reinen Impfungen. Dritte Dosis verstärkte Anti-S-Persistenz signifikant nach 9 Monaten.</w:t>
      </w:r>
    </w:p>
    <w:p>
      <w:r>
        <w:rPr>
          <w:b/>
          <w:sz w:val="19"/>
        </w:rPr>
        <w:t xml:space="preserve">Übertragbarkeit: </w:t>
      </w:r>
      <w:r>
        <w:rPr>
          <w:sz w:val="19"/>
        </w:rPr>
        <w:t>Deutschland, vergleichbare Gesundheitssettings, aber COVID-Spezifik.</w:t>
      </w:r>
    </w:p>
    <w:p>
      <w:r>
        <w:rPr>
          <w:color w:val="5A7D3A"/>
          <w:sz w:val="18"/>
        </w:rPr>
        <w:t>https://pubmed.ncbi.nlm.nih.gov/42797871/</w:t>
      </w:r>
    </w:p>
    <w:p>
      <w:pPr>
        <w:pStyle w:val="Heading2"/>
      </w:pPr>
      <w:r>
        <w:t>Pneumokokkenimpfstoffe (PCV15/PCV20) gegen PCV13 im UK-Impfplan: Studienprotokoll</w:t>
      </w:r>
    </w:p>
    <w:p>
      <w:r>
        <w:rPr>
          <w:i/>
          <w:color w:val="666666"/>
          <w:sz w:val="18"/>
        </w:rPr>
        <w:t>Aslam R et al.  ·  BMJ Open  ·  22.09.2026  ·  PMID 42772879</w:t>
      </w:r>
    </w:p>
    <w:p>
      <w:r>
        <w:t>Randomisierte Studie zur Nicht-Unterlegenheit von PCV15 und PCV20 gegenüber PCV13 bei 600 Säuglingen im britischen 1+1- und 2+1-Impfschema.</w:t>
      </w:r>
    </w:p>
    <w:p>
      <w:r>
        <w:rPr>
          <w:b/>
        </w:rPr>
        <w:t xml:space="preserve">Ergebnis: </w:t>
      </w:r>
      <w:r>
        <w:t>Studienprotokoll ohne Ergebnisse; primärer Endpunkt ist Nicht-Unterlegenheit der PCV13-Serotpyen-spezifischen Antikörperresponses nach PCV15/PCV20 vs. PCV13. Sekundär werden Trägerschaft und Schleimhaut-IgG gemessen. Rekrutierung abgeschlossen (600 Patienten randomisiert).</w:t>
      </w:r>
    </w:p>
    <w:p>
      <w:r>
        <w:rPr>
          <w:b/>
          <w:sz w:val="19"/>
        </w:rPr>
        <w:t xml:space="preserve">Übertragbarkeit: </w:t>
      </w:r>
      <w:r>
        <w:rPr>
          <w:sz w:val="19"/>
        </w:rPr>
        <w:t>UK-Impfplan, europäisches Gesundheitssystem, vergleichbare Versorgungsstruktur.</w:t>
      </w:r>
    </w:p>
    <w:p>
      <w:r>
        <w:rPr>
          <w:color w:val="5A7D3A"/>
          <w:sz w:val="18"/>
        </w:rPr>
        <w:t>https://pubmed.ncbi.nlm.nih.gov/42772879/</w:t>
      </w:r>
    </w:p>
    <w:p>
      <w:pPr>
        <w:pStyle w:val="Heading2"/>
      </w:pPr>
      <w:r>
        <w:t>Adipositas schwächt Antikörperantwort nach Grippeimpfung: deutsche Explorationsstudie</w:t>
      </w:r>
    </w:p>
    <w:p>
      <w:r>
        <w:rPr>
          <w:i/>
          <w:color w:val="666666"/>
          <w:sz w:val="18"/>
        </w:rPr>
        <w:t>Böll S et al.  ·  BMC Immunol  ·  10.09.2026  ·  PMID 42760530</w:t>
      </w:r>
    </w:p>
    <w:p>
      <w:r>
        <w:t>Deutsche Kohortenstudie untersucht, ob Adipositas die humorale und zelluläre Immunantwort nach Influenzaimpfung beeinträchtigt.</w:t>
      </w:r>
    </w:p>
    <w:p>
      <w:r>
        <w:rPr>
          <w:b/>
        </w:rPr>
        <w:t xml:space="preserve">Ergebnis: </w:t>
      </w:r>
      <w:r>
        <w:t>Kleine Stichprobe (n=25: 18 normalgewichtig, 7 adipös) über 9 Monate. Nach Impfung stiegen Antikörpertiter in beiden Gruppen an und blieben erhöht. Bei normalgewichtigen Personen unterschieden sich alle vier Antikörper signifikant über die Besuche; bei adipösen Personen nur zwei. Adipöse zeigten abnehmende Treg-Anteile (nicht signifikant) und keine klaren Gruppenunterschiede in T-Zell-Zahl. Autoren betonen, dass die Stichprobengröße explorativ ist; größere Studien sind notwendig.</w:t>
      </w:r>
    </w:p>
    <w:p>
      <w:r>
        <w:rPr>
          <w:b/>
          <w:sz w:val="19"/>
        </w:rPr>
        <w:t xml:space="preserve">Übertragbarkeit: </w:t>
      </w:r>
      <w:r>
        <w:rPr>
          <w:sz w:val="19"/>
        </w:rPr>
        <w:t>Deutsche Klinikdaten, aber kleine Stichprobe – Ergebnisse sind vorläufig.</w:t>
      </w:r>
    </w:p>
    <w:p>
      <w:r>
        <w:rPr>
          <w:color w:val="5A7D3A"/>
          <w:sz w:val="18"/>
        </w:rPr>
        <w:t>https://pubmed.ncbi.nlm.nih.gov/42760530/</w:t>
      </w:r>
    </w:p>
    <w:p>
      <w:pPr>
        <w:pStyle w:val="Heading1"/>
      </w:pPr>
      <w:r>
        <w:t>Aufgenommen am 30.09.2026</w:t>
      </w:r>
    </w:p>
    <w:p>
      <w:pPr>
        <w:pStyle w:val="Heading2"/>
      </w:pPr>
      <w:r>
        <w:t>Psychologische Treiber der Impfskepsis gegen HPV in Polen prägen Kampagnen</w:t>
      </w:r>
    </w:p>
    <w:p>
      <w:r>
        <w:rPr>
          <w:i/>
          <w:color w:val="666666"/>
          <w:sz w:val="18"/>
        </w:rPr>
        <w:t>Siebielec J et al.  ·  Front Public Health  ·  14.09.2026  ·  PMID 42807115</w:t>
      </w:r>
    </w:p>
    <w:p>
      <w:r>
        <w:t>Qualitative Analyse von 4.440 Facebook-Einträgen zum HPV-Impfen zwischen Oktober 2020 und Oktober 2023 unter polnischen Sprechern mit Kodierung nach dem 5C-Modell (Confidence, Complacency, Constraints, Calculation, Collective responsibility).</w:t>
      </w:r>
    </w:p>
    <w:p>
      <w:r>
        <w:rPr>
          <w:b/>
        </w:rPr>
        <w:t xml:space="preserve">Ergebnis: </w:t>
      </w:r>
      <w:r>
        <w:t>51 % aller Einträge erschienen 2023 (Programmstart). 42 % ließen sich Kategorien zuordnen; Calculation (60 %) und Confidence (47 %) am häufigsten, in 13 % beide. Psychologische Faktoren: extensive Informationssuche, Verschwörungstheorie-Anfälligkeit, Vertrauensfragen zu Impfstoff und Behörden. Facebook-Kampagnen sollten diverse psychologische Profile ansprechen und zuverlässige Information verständlich darstellen.</w:t>
      </w:r>
    </w:p>
    <w:p>
      <w:r>
        <w:rPr>
          <w:b/>
          <w:sz w:val="19"/>
        </w:rPr>
        <w:t xml:space="preserve">Übertragbarkeit: </w:t>
      </w:r>
      <w:r>
        <w:rPr>
          <w:sz w:val="19"/>
        </w:rPr>
        <w:t>Qualitative Erkenntnis aus Europa (Polen), übertragbar für deutschsprachige Impf­kommunikation.</w:t>
      </w:r>
    </w:p>
    <w:p>
      <w:r>
        <w:rPr>
          <w:color w:val="5A7D3A"/>
          <w:sz w:val="18"/>
        </w:rPr>
        <w:t>https://pubmed.ncbi.nlm.nih.gov/42807115/</w:t>
      </w:r>
    </w:p>
    <w:p>
      <w:pPr>
        <w:pStyle w:val="Heading2"/>
      </w:pPr>
      <w:r>
        <w:t>BCG-Impfung senkt Tuberkulose-Risiko bei bangladeschischen Kindern um 57 %</w:t>
      </w:r>
    </w:p>
    <w:p>
      <w:r>
        <w:rPr>
          <w:i/>
          <w:color w:val="666666"/>
          <w:sz w:val="18"/>
        </w:rPr>
        <w:t>Rahman T et al.  ·  BMC Infect Dis  ·  27.07.2026  ·  PMID 42806320</w:t>
      </w:r>
    </w:p>
    <w:p>
      <w:r>
        <w:t>Gemeindebasierte Fall-Kontroll-Studie bei 207 TB-Fällen und 207 Kontrollen (2–14 Jahre) in Moulavibazar, Bangladesch, Januar–April 2023 mit multivariater logistischer Regression.</w:t>
      </w:r>
    </w:p>
    <w:p>
      <w:r>
        <w:rPr>
          <w:b/>
        </w:rPr>
        <w:t xml:space="preserve">Ergebnis: </w:t>
      </w:r>
      <w:r>
        <w:t>BCG-Impfung: aOR 0,43 (95%-KI 0,20–0,93), Schutz 57 %. Zusätzliche Risikofaktoren: Adoleszenz (11–14 vs. 2–5 Jahre: aOR 2,53), männliches Geschlecht (aOR 1,79), TB in Familie &lt;6 Monate (aOR 1,92). Random-Forest-Modell: Accuracy 71,6 %, AUC 0,74. Impfung bleibt zentral für Kindertuberkulose-Kontrolle.</w:t>
      </w:r>
    </w:p>
    <w:p>
      <w:r>
        <w:rPr>
          <w:b/>
          <w:sz w:val="19"/>
        </w:rPr>
        <w:t xml:space="preserve">Übertragbarkeit: </w:t>
      </w:r>
      <w:r>
        <w:rPr>
          <w:sz w:val="19"/>
        </w:rPr>
        <w:t>Südasien mit epidemiologischen Daten, aber hohe Transmissionslage dort anders als Deutschland.</w:t>
      </w:r>
    </w:p>
    <w:p>
      <w:r>
        <w:rPr>
          <w:color w:val="5A7D3A"/>
          <w:sz w:val="18"/>
        </w:rPr>
        <w:t>https://pubmed.ncbi.nlm.nih.gov/42806320/</w:t>
      </w:r>
    </w:p>
    <w:p>
      <w:pPr>
        <w:pStyle w:val="Heading2"/>
      </w:pPr>
      <w:r>
        <w:t>Masernherd-Schwelle in Florida durch Impfquoten unterschritten – Risiko rapider Ausbrüche</w:t>
      </w:r>
    </w:p>
    <w:p>
      <w:r>
        <w:rPr>
          <w:i/>
          <w:color w:val="666666"/>
          <w:sz w:val="18"/>
        </w:rPr>
        <w:t>Oveson A et al.  ·  Proc Natl Acad Sci U S A  ·  06.10.2026  ·  PMID 42804627</w:t>
      </w:r>
    </w:p>
    <w:p>
      <w:r>
        <w:t>Altersstrukturiertes Masern-Transmissionsmodell für Florida kalibriert mit Daten des Gaines-County-Ausbruchs 2025, untersucht Effekt von Aufhebung schulischer Impfpflicht.</w:t>
      </w:r>
    </w:p>
    <w:p>
      <w:r>
        <w:rPr>
          <w:b/>
        </w:rPr>
        <w:t xml:space="preserve">Ergebnis: </w:t>
      </w:r>
      <w:r>
        <w:t>Aktuelle Masern-Mumps-Röteln-Quote in Florida unterschreitet bereits die Herdenimmunitätsschwelle. Modellierte Quoten­rückgänge nach Aufhebung der Schulanforderung projizieren Ausbruchsgrößen wie vor Impfära, mit signifikanter Kindersterblichkeit in fünf Jahren. Sensitivitätsanalyse: kleine Quoten­rückgänge führen zu disproportional großen Ausbruchszunahmen, besonders bei starker Mischung unter Kindern.</w:t>
      </w:r>
    </w:p>
    <w:p>
      <w:r>
        <w:rPr>
          <w:b/>
          <w:sz w:val="19"/>
        </w:rPr>
        <w:t xml:space="preserve">Übertragbarkeit: </w:t>
      </w:r>
      <w:r>
        <w:rPr>
          <w:sz w:val="19"/>
        </w:rPr>
        <w:t>USA, epidemiologisches Modell – Mechanismus übertragbar auf deutsche Risiko­szenarios.</w:t>
      </w:r>
    </w:p>
    <w:p>
      <w:r>
        <w:rPr>
          <w:color w:val="5A7D3A"/>
          <w:sz w:val="18"/>
        </w:rPr>
        <w:t>https://pubmed.ncbi.nlm.nih.gov/42804627/</w:t>
      </w:r>
    </w:p>
    <w:p>
      <w:pPr>
        <w:pStyle w:val="Heading2"/>
      </w:pPr>
      <w:r>
        <w:t>RSV-Hospitalisierungen bei Kindern sinken nach gezieltem Nirsevimab-Einsatz</w:t>
      </w:r>
    </w:p>
    <w:p>
      <w:r>
        <w:rPr>
          <w:i/>
          <w:color w:val="666666"/>
          <w:sz w:val="18"/>
        </w:rPr>
        <w:t>Attaianese F et al.  ·  Int J Infect Dis  ·  27.08.2026  ·  PMID 42660409</w:t>
      </w:r>
    </w:p>
    <w:p>
      <w:r>
        <w:t>Italienische Studie zu RSV-Infektionen bei Kindern &lt;18 Jahren über sechs Saisons mit Analyse der Auswirkung regionaler Nirsevimab-Impfstrategien zwischen Januar 2019 und März 2025.</w:t>
      </w:r>
    </w:p>
    <w:p>
      <w:r>
        <w:rPr>
          <w:b/>
        </w:rPr>
        <w:t xml:space="preserve">Ergebnis: </w:t>
      </w:r>
      <w:r>
        <w:t>In der Saison 2024–2025 sanken RSV-Hospitalisierungen um insgesamt 43,6 %. Mit breiten Zugangs­kriterien und frühem Einsatz (Gruppe B) betrug das Reduktionsverhältnis 0,28 (95%-KI 0,22–0,36), mit einzelnem Zentrum (Gruppe F) 0,24. Beschränktere Strategien (Gruppen C–E) zeigten moderatere Rückgänge (Quoten 0,58–0,70). Die Studie bestätigt zeitliche Assoziation zwischen Rollout und verringerter Hospitalisierung.</w:t>
      </w:r>
    </w:p>
    <w:p>
      <w:r>
        <w:rPr>
          <w:b/>
          <w:sz w:val="19"/>
        </w:rPr>
        <w:t xml:space="preserve">Übertragbarkeit: </w:t>
      </w:r>
      <w:r>
        <w:rPr>
          <w:sz w:val="19"/>
        </w:rPr>
        <w:t>Italien mit vergleichbaren Krankenhausdaten und Meldesystemen.</w:t>
      </w:r>
    </w:p>
    <w:p>
      <w:r>
        <w:rPr>
          <w:color w:val="5A7D3A"/>
          <w:sz w:val="18"/>
        </w:rPr>
        <w:t>https://pubmed.ncbi.nlm.nih.gov/42660409/</w:t>
      </w:r>
    </w:p>
    <w:p>
      <w:pPr>
        <w:pStyle w:val="Heading2"/>
      </w:pPr>
      <w:r>
        <w:t>Nirsevimab und RSV-Mutterimpfung schützen Säuglinge hocheffektiv</w:t>
      </w:r>
    </w:p>
    <w:p>
      <w:r>
        <w:rPr>
          <w:i/>
          <w:color w:val="666666"/>
          <w:sz w:val="18"/>
        </w:rPr>
        <w:t>Treston B et al.  ·  Int J Infect Dis  ·  06.08.2026  ·  PMID 42562126</w:t>
      </w:r>
    </w:p>
    <w:p>
      <w:r>
        <w:t>Test-negativ Fall-Kontroll-Studie über zwei RSV-Schutzstrategien auf der irischen Insel in der Saison 2024/25 bei Säuglingen &lt;6 Monaten mit akuter Atemwegserkrankung.</w:t>
      </w:r>
    </w:p>
    <w:p>
      <w:r>
        <w:rPr>
          <w:b/>
        </w:rPr>
        <w:t xml:space="preserve">Ergebnis: </w:t>
      </w:r>
      <w:r>
        <w:t>Nirsevimab-Effektivität gegen Hospitalisierung 90,7 % (95%-KI 80,7–95,8) in der Republik Irland bei 83 % Abdeckung; RSVpreF-Effektivität 83,9 % (95%-KI 41,5–96,6) in Nordirland bei 30 % Abdeckung. Notfall­ambulanz-Bronchiolitis-Besuche sanken um 52 % (ROI) und 37 % (NI). Unterschiedliche Abdeckung führte zu unterschiedlichem Bevölkerungseffekt.</w:t>
      </w:r>
    </w:p>
    <w:p>
      <w:r>
        <w:rPr>
          <w:b/>
          <w:sz w:val="19"/>
        </w:rPr>
        <w:t xml:space="preserve">Übertragbarkeit: </w:t>
      </w:r>
      <w:r>
        <w:rPr>
          <w:sz w:val="19"/>
        </w:rPr>
        <w:t>UK-System mit Notfalldaten, aber Strategie-Unterschiede zeigen Implementierungs­priorität.</w:t>
      </w:r>
    </w:p>
    <w:p>
      <w:r>
        <w:rPr>
          <w:color w:val="5A7D3A"/>
          <w:sz w:val="18"/>
        </w:rPr>
        <w:t>https://pubmed.ncbi.nlm.nih.gov/42562126/</w:t>
      </w:r>
    </w:p>
    <w:p>
      <w:pPr>
        <w:pStyle w:val="Heading2"/>
      </w:pPr>
      <w:r>
        <w:t>Keine erhöhte Notfall-Hospitalisierungsrate durch Impfung bei immunologischen Erkrankungen</w:t>
      </w:r>
    </w:p>
    <w:p>
      <w:r>
        <w:rPr>
          <w:i/>
          <w:color w:val="666666"/>
          <w:sz w:val="18"/>
        </w:rPr>
        <w:t>Meiszl K et al.  ·  Int J Infect Dis  ·  25.07.2026  ·  PMID 42501818</w:t>
      </w:r>
    </w:p>
    <w:p>
      <w:r>
        <w:t>Deutsche Register-Kohortenstudie mit sechs Kausalziel-Emulatoren zu Pneumokokken- und Influenza-Impfung bei 432.768 Patienten mit Multipler Sklerose, entzündlich-rheumatischen oder Darmerkrankungen zwischen 2013 und 2019.</w:t>
      </w:r>
    </w:p>
    <w:p>
      <w:r>
        <w:rPr>
          <w:b/>
        </w:rPr>
        <w:t xml:space="preserve">Ergebnis: </w:t>
      </w:r>
      <w:r>
        <w:t>Pneumokokken: HR 0,91 (MS), 0,60 (rheumatisch), 0,89 (IBD). Influenza: HR 0,94 (MS), 0,79 (rheumatisch), 0,83 (IBD) – keine erhöhte Verschlechterung, teilweise Risikoreduktion. Modell-Kalibrierung adequate (Hosmer-Lemeshow-Test). Befund stützt Sicherheit der Immunisierung in diesen Populationen.</w:t>
      </w:r>
    </w:p>
    <w:p>
      <w:r>
        <w:rPr>
          <w:b/>
          <w:sz w:val="19"/>
        </w:rPr>
        <w:t xml:space="preserve">Übertragbarkeit: </w:t>
      </w:r>
      <w:r>
        <w:rPr>
          <w:sz w:val="19"/>
        </w:rPr>
        <w:t>Deutsche Kassenabrechnung (BARMER), direkter Bevölkerungsbezug.</w:t>
      </w:r>
    </w:p>
    <w:p>
      <w:r>
        <w:rPr>
          <w:color w:val="5A7D3A"/>
          <w:sz w:val="18"/>
        </w:rPr>
        <w:t>https://pubmed.ncbi.nlm.nih.gov/42501818/</w:t>
      </w:r>
    </w:p>
    <w:p>
      <w:pPr>
        <w:pStyle w:val="Heading1"/>
      </w:pPr>
      <w:r>
        <w:t>Aufgenommen am 29.09.2026</w:t>
      </w:r>
    </w:p>
    <w:p>
      <w:pPr>
        <w:pStyle w:val="Heading2"/>
      </w:pPr>
      <w:r>
        <w:t>Wirksamkeit der Herpes-zoster-Impfung bei entzündlichen Darmerkrankungen</w:t>
      </w:r>
    </w:p>
    <w:p>
      <w:r>
        <w:rPr>
          <w:i/>
          <w:color w:val="666666"/>
          <w:sz w:val="18"/>
        </w:rPr>
        <w:t>Humayun M et al.  ·  Hum Vaccin Immunother  ·  28.09.2026  ·  PMID 42804491</w:t>
      </w:r>
    </w:p>
    <w:p>
      <w:r>
        <w:t>Matched-cohort und selbstkontrollierte Fall-Serie bei 8.485 IBD-Patienten ≥18 Jahren in Kaiser-Permanente Southern California (2018–2024) zur Effektivität und Sicherheit der rekombinanten Zoster-Impfung (RZV).</w:t>
      </w:r>
    </w:p>
    <w:p>
      <w:r>
        <w:rPr>
          <w:b/>
        </w:rPr>
        <w:t xml:space="preserve">Ergebnis: </w:t>
      </w:r>
      <w:r>
        <w:t>VE gegen Herpes zoster nach 2 RZV-Dosen: 65,4% (95%-KI 40,6–79,9%); in Colitis-Patienten 62,7%, in Morbus-Crohn-Patienten 70,2%. IBD-Schübe im 30-Tage-Fenster nach Impfung (RR 0,80) nicht erhöht.</w:t>
      </w:r>
    </w:p>
    <w:p>
      <w:r>
        <w:rPr>
          <w:b/>
          <w:sz w:val="19"/>
        </w:rPr>
        <w:t xml:space="preserve">Übertragbarkeit: </w:t>
      </w:r>
      <w:r>
        <w:rPr>
          <w:sz w:val="19"/>
        </w:rPr>
        <w:t>USA-Krankenversicherungsdaten, ähnliche Ausgangslage, aber starke Fragmentation möglich – für deutsche Versorgung mit Krankenkassen-Daten parallel machbar</w:t>
      </w:r>
    </w:p>
    <w:p>
      <w:r>
        <w:rPr>
          <w:color w:val="5A7D3A"/>
          <w:sz w:val="18"/>
        </w:rPr>
        <w:t>https://pubmed.ncbi.nlm.nih.gov/42804491/</w:t>
      </w:r>
    </w:p>
    <w:p>
      <w:pPr>
        <w:pStyle w:val="Heading2"/>
      </w:pPr>
      <w:r>
        <w:t>Schutzwirkung Mumps-haltiger Impfstoffe bei Kindern unter 15 Jahren in China</w:t>
      </w:r>
    </w:p>
    <w:p>
      <w:r>
        <w:rPr>
          <w:i/>
          <w:color w:val="666666"/>
          <w:sz w:val="18"/>
        </w:rPr>
        <w:t>Liu H et al.  ·  PLoS One  ·  28.09.2026  ·  PMID 42804452</w:t>
      </w:r>
    </w:p>
    <w:p>
      <w:r>
        <w:t>Matched-case-control-Studie bei 1.405 klinisch oder laborbestätigten Mumps-Fällen und 2.810 Kontrollen (2021–2025) in Taizhou, China, zur Effektivität Mumps-haltiger Impfstoffe nach Schulalter und Impfintervallen.</w:t>
      </w:r>
    </w:p>
    <w:p>
      <w:r>
        <w:rPr>
          <w:b/>
        </w:rPr>
        <w:t xml:space="preserve">Ergebnis: </w:t>
      </w:r>
      <w:r>
        <w:t>Gesamtimpfeffektivität nach ≥1 Dosis: 75,7% (95%-KI 64,8–83,2%). VE stieg mit Alter: 3–5 Jahre 55,2%, 6–11 Jahre 86,7%, ≥12 Jahre 92,9%. Einfach-Dosis-Regime: VE 80,4%; Zwei-Dosis-Periode zeigt VE nicht signifikant (durch hohe Coverage und wenige Ungeimpfte verzerrt).</w:t>
      </w:r>
    </w:p>
    <w:p>
      <w:r>
        <w:rPr>
          <w:b/>
          <w:sz w:val="19"/>
        </w:rPr>
        <w:t xml:space="preserve">Übertragbarkeit: </w:t>
      </w:r>
      <w:r>
        <w:rPr>
          <w:sz w:val="19"/>
        </w:rPr>
        <w:t>China, aber Impfregister-Daten und standardisierte Falldef. übertragbar – Frage zur optimalen Dosierung international relevant</w:t>
      </w:r>
    </w:p>
    <w:p>
      <w:r>
        <w:rPr>
          <w:color w:val="5A7D3A"/>
          <w:sz w:val="18"/>
        </w:rPr>
        <w:t>https://pubmed.ncbi.nlm.nih.gov/42804452/</w:t>
      </w:r>
    </w:p>
    <w:p>
      <w:pPr>
        <w:pStyle w:val="Heading2"/>
      </w:pPr>
      <w:r>
        <w:t>Impfquoten bei HPV-Geimpften sinken bei niedriger Schulbildung und Einkommen der Eltern</w:t>
      </w:r>
    </w:p>
    <w:p>
      <w:r>
        <w:rPr>
          <w:i/>
          <w:color w:val="666666"/>
          <w:sz w:val="18"/>
        </w:rPr>
        <w:t>Appelqvist E et al.  ·  Vaccine  ·  24.10.2026  ·  PMID 42727401</w:t>
      </w:r>
    </w:p>
    <w:p>
      <w:r>
        <w:t>Schwedische Registerstudie mit 492.997 Mädchen (Jahrgänge 2002–2010) zu Faktoren der HPV-Impfquote im Schulprogramm und Catch-up-Impfungen bis Alter 19 Jahren.</w:t>
      </w:r>
    </w:p>
    <w:p>
      <w:r>
        <w:rPr>
          <w:b/>
        </w:rPr>
        <w:t xml:space="preserve">Ergebnis: </w:t>
      </w:r>
      <w:r>
        <w:t>Eltern mit niedrigem Bildungsabschluss (OR 1,3) oder niedrigem Einkommen (OR 1,9) hatten geringere Impfquoten; im Ausland geborene Mädchen oder mit im Ausland geborenen Eltern zeigten OR 1,7. Die meisten ungeimpften Mädchen erhielten später keine Catch-up-Impfung, unabhängig von Schuljahr.</w:t>
      </w:r>
    </w:p>
    <w:p>
      <w:r>
        <w:rPr>
          <w:b/>
          <w:sz w:val="19"/>
        </w:rPr>
        <w:t xml:space="preserve">Übertragbarkeit: </w:t>
      </w:r>
      <w:r>
        <w:rPr>
          <w:sz w:val="19"/>
        </w:rPr>
        <w:t>Schweden, Impfregister und Schulimpfprogramm, Hinweis auf Ungleichheitsachsen auch in deutschen Bundesländern ohne Register</w:t>
      </w:r>
    </w:p>
    <w:p>
      <w:r>
        <w:rPr>
          <w:color w:val="5A7D3A"/>
          <w:sz w:val="18"/>
        </w:rPr>
        <w:t>https://pubmed.ncbi.nlm.nih.gov/42727401/</w:t>
      </w:r>
    </w:p>
    <w:p>
      <w:pPr>
        <w:pStyle w:val="Heading2"/>
      </w:pPr>
      <w:r>
        <w:t>Wirksamkeit und Waning der vierten COVID-19-mRNA-Impfdosis gegen Hospitalisierung</w:t>
      </w:r>
    </w:p>
    <w:p>
      <w:r>
        <w:rPr>
          <w:i/>
          <w:color w:val="666666"/>
          <w:sz w:val="18"/>
        </w:rPr>
        <w:t>Li X et al.  ·  J Infect  ·  05.08.2026  ·  PMID 42556476</w:t>
      </w:r>
    </w:p>
    <w:p>
      <w:r>
        <w:t>Multizentrische Kohortenstudie aus UK, Niederlanden und Spanien (DARWIN EU) an 975.496 geimpften Personen ab 12 Jahren zur Effektivität der vierten Dosis gegen SARS-CoV-2-bedingte Hospitalisierung und Tod.</w:t>
      </w:r>
    </w:p>
    <w:p>
      <w:r>
        <w:rPr>
          <w:b/>
        </w:rPr>
        <w:t xml:space="preserve">Ergebnis: </w:t>
      </w:r>
      <w:r>
        <w:t>VE vierte vs. dritte Dosis gegen Tod 30% (95%-KI 9–46); gegen Hospitalisierung 26% (Spanien) bis 46% (Niederlande). Waning begann bei 4–8 Wochen. Periodische Auffrischungen wurden empfohlen.</w:t>
      </w:r>
    </w:p>
    <w:p>
      <w:r>
        <w:rPr>
          <w:b/>
          <w:sz w:val="19"/>
        </w:rPr>
        <w:t xml:space="preserve">Übertragbarkeit: </w:t>
      </w:r>
      <w:r>
        <w:rPr>
          <w:sz w:val="19"/>
        </w:rPr>
        <w:t>Niederlande, Spanien, UK mit kompletten elektronischen Gesundheitsaufzeichnungen, übertragbar auf deutsche Versorgung</w:t>
      </w:r>
    </w:p>
    <w:p>
      <w:r>
        <w:rPr>
          <w:color w:val="5A7D3A"/>
          <w:sz w:val="18"/>
        </w:rPr>
        <w:t>https://pubmed.ncbi.nlm.nih.gov/42556476/</w:t>
      </w:r>
    </w:p>
    <w:p>
      <w:pPr>
        <w:pStyle w:val="Heading2"/>
      </w:pPr>
      <w:r>
        <w:t>Influenza-Impfquote und Impfskepsis bei Patienten mit Lebererkrankung in Griechenland</w:t>
      </w:r>
    </w:p>
    <w:p>
      <w:r>
        <w:rPr>
          <w:i/>
          <w:color w:val="666666"/>
          <w:sz w:val="18"/>
        </w:rPr>
        <w:t>Dafnou P et al.  ·  Gastroenterol Nurs  ·  21.07.2026  ·  PMID 42484114</w:t>
      </w:r>
    </w:p>
    <w:p>
      <w:r>
        <w:t>Querschnittstudie bei 152 Patienten mit Lebererkrankung in Griechenland (2025) zur Influenza-Impfquote, Einstellungen und Einflussfaktoren.</w:t>
      </w:r>
    </w:p>
    <w:p>
      <w:r>
        <w:rPr>
          <w:b/>
        </w:rPr>
        <w:t xml:space="preserve">Ergebnis: </w:t>
      </w:r>
      <w:r>
        <w:t>58,6% erhielten Influenza-Impfung. Prädiktoren der Impfung: höheres Alter (OR 1,07), vorangegangene Pneumokokken-Impfung (OR 17,98), COVID-19-Impfung (OR 5,77). Etwa die Hälfte ließen sich jährlich impfen. Kliniker als vertrauenswürdige Informanten könnten Quote heben.</w:t>
      </w:r>
    </w:p>
    <w:p>
      <w:r>
        <w:rPr>
          <w:b/>
          <w:sz w:val="19"/>
        </w:rPr>
        <w:t xml:space="preserve">Übertragbarkeit: </w:t>
      </w:r>
      <w:r>
        <w:rPr>
          <w:sz w:val="19"/>
        </w:rPr>
        <w:t>Griechenland, ähnliche Gesundheitssysteme, Fokus auf vulnerable Gruppen und Beratung auch für Deutschland relevant</w:t>
      </w:r>
    </w:p>
    <w:p>
      <w:r>
        <w:rPr>
          <w:color w:val="5A7D3A"/>
          <w:sz w:val="18"/>
        </w:rPr>
        <w:t>https://pubmed.ncbi.nlm.nih.gov/42484114/</w:t>
      </w:r>
    </w:p>
    <w:p>
      <w:pPr>
        <w:pStyle w:val="Heading1"/>
      </w:pPr>
      <w:r>
        <w:t>Aufgenommen am 28.09.2026</w:t>
      </w:r>
    </w:p>
    <w:p>
      <w:pPr>
        <w:pStyle w:val="Heading2"/>
      </w:pPr>
      <w:r>
        <w:t>MMR-Impfung und idiopathische thrombozytopenische Purpura: Risiko nach erster und zweiter Dosis bei englischen Kindern</w:t>
      </w:r>
    </w:p>
    <w:p>
      <w:r>
        <w:rPr>
          <w:i/>
          <w:color w:val="666666"/>
          <w:sz w:val="18"/>
        </w:rPr>
        <w:t>Andrews N et al.  ·  Vaccine  ·  24.10.2026  ·  PMID 42771940</w:t>
      </w:r>
    </w:p>
    <w:p>
      <w:r>
        <w:t>Retrospektive Kohortenstudie anhand von verknüpften Krankenhausdaten zu Blutungskomplikationen nach MMR-Impfung bei 3,9 Millionen Kindern in England 2000-2019.</w:t>
      </w:r>
    </w:p>
    <w:p>
      <w:r>
        <w:rPr>
          <w:b/>
        </w:rPr>
        <w:t xml:space="preserve">Ergebnis: </w:t>
      </w:r>
      <w:r>
        <w:t>Nach erster MMR-Dosis erhöhtes ITP-Risiko (relatives Risiko 2,38; 95%-KI 2,12–2,67), entsprechend 1 Fall pro 42.900 Dosen. Nach zweiter Dosis kein erhöhtes Risiko (RR 0,96; 95%-KI 0,81–1,13). Kinder mit ITP nach Dosis 1 zeigten kein zusätzliches Risiko nach Dosis 2; eine Wiederimpfung ist sicher.</w:t>
      </w:r>
    </w:p>
    <w:p>
      <w:r>
        <w:rPr>
          <w:b/>
          <w:sz w:val="19"/>
        </w:rPr>
        <w:t xml:space="preserve">Übertragbarkeit: </w:t>
      </w:r>
      <w:r>
        <w:rPr>
          <w:sz w:val="19"/>
        </w:rPr>
        <w:t>Englische Klinikdaten, vergleichbare Dokumentationspflichten mit Deutschland.</w:t>
      </w:r>
    </w:p>
    <w:p>
      <w:r>
        <w:rPr>
          <w:color w:val="5A7D3A"/>
          <w:sz w:val="18"/>
        </w:rPr>
        <w:t>https://pubmed.ncbi.nlm.nih.gov/42771940/</w:t>
      </w:r>
    </w:p>
    <w:p>
      <w:pPr>
        <w:pStyle w:val="Heading2"/>
      </w:pPr>
      <w:r>
        <w:t>HPV-Impfquote und Ungleichheit in Süditalien: Sozioökonomische Faktoren und Organisationsbarrieren</w:t>
      </w:r>
    </w:p>
    <w:p>
      <w:r>
        <w:rPr>
          <w:i/>
          <w:color w:val="666666"/>
          <w:sz w:val="18"/>
        </w:rPr>
        <w:t>Mercogliano M et al.  ·  Vaccine  ·  24.10.2026  ·  PMID 42763966</w:t>
      </w:r>
    </w:p>
    <w:p>
      <w:r>
        <w:t>Bevölkerungsbasierte Längsschnittanalyse mit Impfregister-Daten aus Kampanien 2006–2023 zu Einflussfaktoren auf HPV-Impfquoten bei Mädchen und Jungen.</w:t>
      </w:r>
    </w:p>
    <w:p>
      <w:r>
        <w:rPr>
          <w:b/>
        </w:rPr>
        <w:t xml:space="preserve">Ergebnis: </w:t>
      </w:r>
      <w:r>
        <w:t>Ein-Dosis-Quote Mädchen max. 68,5%, Jungen max. 41,1%. Vollständige Immunisierung Mädchen 62,2%, Jungen 29,9%. Sozioökonomische Deprivation senkte Impfquoten bei Jungen (Koeffizient −1,56 für Eine-Dosis-Quote), nicht aber bei routiner Impfung von Mädchen. Nachholimpfung stark von Deprivation betroffen. Impfdichtevariation über Bezirke hinweg unabhängig von Zentrenanzahl.</w:t>
      </w:r>
    </w:p>
    <w:p>
      <w:r>
        <w:rPr>
          <w:b/>
          <w:sz w:val="19"/>
        </w:rPr>
        <w:t xml:space="preserve">Übertragbarkeit: </w:t>
      </w:r>
      <w:r>
        <w:rPr>
          <w:sz w:val="19"/>
        </w:rPr>
        <w:t>Italien, vergleichbares Versicherungssystem und Impfprogramm mit Deutschland.</w:t>
      </w:r>
    </w:p>
    <w:p>
      <w:r>
        <w:rPr>
          <w:color w:val="5A7D3A"/>
          <w:sz w:val="18"/>
        </w:rPr>
        <w:t>https://pubmed.ncbi.nlm.nih.gov/42763966/</w:t>
      </w:r>
    </w:p>
    <w:p>
      <w:pPr>
        <w:pStyle w:val="Heading2"/>
      </w:pPr>
      <w:r>
        <w:t>Impfplan-Adhärenz in Deutschland: Komplexität im 1. Lebensjahr senkt Quote</w:t>
      </w:r>
    </w:p>
    <w:p>
      <w:r>
        <w:rPr>
          <w:i/>
          <w:color w:val="666666"/>
          <w:sz w:val="18"/>
        </w:rPr>
        <w:t>Arede M et al.  ·  Vaccine  ·  24.10.2026  ·  PMID 42759250</w:t>
      </w:r>
    </w:p>
    <w:p>
      <w:r>
        <w:t>Querschnitts- und Längsschnittanalyse aus KUNO-Kids-Studie (Bayern 2015–2020) zur Erreichung und zeitgerechten Durchführung des deutschen Impfkalenders bei 2.044 Kindern.</w:t>
      </w:r>
    </w:p>
    <w:p>
      <w:r>
        <w:rPr>
          <w:b/>
        </w:rPr>
        <w:t xml:space="preserve">Ergebnis: </w:t>
      </w:r>
      <w:r>
        <w:t>Bei 24 Monaten: Hexavalent-Impfquoten 71–76%, MMR 86–87%; keine Vakzine erreichte 90–95%-Ziel. Vollständige Kalender-Adhärenz bei 50–55% mit 2 Jahren, 59–76% mit 4 Jahren. Hexavalent-Quote bei 4 Jahren nur 84%, Nachholimpfung geringer als für MMR. Komplexe Mehrfach-Dosis-Schemata im 1. Lebensjahr assoziiert mit verzögerter Adhärenz.</w:t>
      </w:r>
    </w:p>
    <w:p>
      <w:r>
        <w:rPr>
          <w:b/>
          <w:sz w:val="19"/>
        </w:rPr>
        <w:t xml:space="preserve">Übertragbarkeit: </w:t>
      </w:r>
      <w:r>
        <w:rPr>
          <w:sz w:val="19"/>
        </w:rPr>
        <w:t>Deutsche Daten direkt, Versorgungsforschung im eigenen Gesundheitssystem.</w:t>
      </w:r>
    </w:p>
    <w:p>
      <w:r>
        <w:rPr>
          <w:color w:val="5A7D3A"/>
          <w:sz w:val="18"/>
        </w:rPr>
        <w:t>https://pubmed.ncbi.nlm.nih.gov/42759250/</w:t>
      </w:r>
    </w:p>
    <w:p>
      <w:pPr>
        <w:pStyle w:val="Heading2"/>
      </w:pPr>
      <w:r>
        <w:t>Grippe-Impfquoten senken Sterblichkeit älterer Europäer messbar</w:t>
      </w:r>
    </w:p>
    <w:p>
      <w:r>
        <w:rPr>
          <w:i/>
          <w:color w:val="666666"/>
          <w:sz w:val="18"/>
        </w:rPr>
        <w:t>Zhou B et al.  ·  Vaccine  ·  24.10.2026  ·  PMID 42759249</w:t>
      </w:r>
    </w:p>
    <w:p>
      <w:r>
        <w:t>Ökologische Panel-Analyse mit Surveys (SHARE) und GBD-Daten aus 21 EU/EEA-Ländern, Schweiz und Israel (2019/20 und 2021/22) zur Assoziation von Impfquoten mit Mortalität und Morbidität.</w:t>
      </w:r>
    </w:p>
    <w:p>
      <w:r>
        <w:rPr>
          <w:b/>
        </w:rPr>
        <w:t xml:space="preserve">Ergebnis: </w:t>
      </w:r>
      <w:r>
        <w:t>Mittlere Impfquote stieg von 34,5% auf 47,6%, blieb unter 75%-Ziel. Pro 1%-Punkt höhere Impfquote: 14,9 weniger Todesfälle/100.000 Ältere (95%-KI −22,8 bis −7,1), 328,1 weniger Gesamt-DALYs/100.000 (95%-KI −480,4 bis −175,8), 6,3 weniger LRTI-DALYs/100.000. Assoziationen auch für Diabetes-DALYs (−12,1).</w:t>
      </w:r>
    </w:p>
    <w:p>
      <w:r>
        <w:rPr>
          <w:b/>
          <w:sz w:val="19"/>
        </w:rPr>
        <w:t xml:space="preserve">Übertragbarkeit: </w:t>
      </w:r>
      <w:r>
        <w:rPr>
          <w:sz w:val="19"/>
        </w:rPr>
        <w:t>21 europäische Länder, vergleichbare Gesundheitssysteme und Erfassungsmethoden.</w:t>
      </w:r>
    </w:p>
    <w:p>
      <w:r>
        <w:rPr>
          <w:color w:val="5A7D3A"/>
          <w:sz w:val="18"/>
        </w:rPr>
        <w:t>https://pubmed.ncbi.nlm.nih.gov/42759249/</w:t>
      </w:r>
    </w:p>
    <w:p>
      <w:pPr>
        <w:pStyle w:val="Heading2"/>
      </w:pPr>
      <w:r>
        <w:t>Schulische HPV-Impfaufklärung hebt Impfquoten: Was wirkt wirklich?</w:t>
      </w:r>
    </w:p>
    <w:p>
      <w:r>
        <w:rPr>
          <w:i/>
          <w:color w:val="666666"/>
          <w:sz w:val="18"/>
        </w:rPr>
        <w:t>Munoz A et al.  ·  Vaccine  ·  24.10.2026  ·  PMID 42753385</w:t>
      </w:r>
    </w:p>
    <w:p>
      <w:r>
        <w:t>Randomisierte Interventionsstudie mit 2.758 Schülern in 39 französischen Schulen zur Mediation von Effekten zwischen Wissens-, Einstellungs- und Verhaltensänderungen und HPV-Impfakzeptanz.</w:t>
      </w:r>
    </w:p>
    <w:p>
      <w:r>
        <w:rPr>
          <w:b/>
        </w:rPr>
        <w:t xml:space="preserve">Ergebnis: </w:t>
      </w:r>
      <w:r>
        <w:t>Gemeinsame Aufklärung (EMM) erhöhte Impfakzeptanz/Impfabsicht (OR 1,57; 95%-KI 1,02–2,41). Stärkste Mediationswirkungen durch verbesserte Nutzen-Risiko-Einstellung (OR 1,14), Sicherheitswahrnehmung (OR 1,12), Zugänglichkeit (OR 1,11), Peer-Diskussionen (OR 1,11) und Selbsteingeschätztes Wissen (OR 1,10). Haltungsänderungen wichtiger als reine Wissenseerhöhung.</w:t>
      </w:r>
    </w:p>
    <w:p>
      <w:r>
        <w:rPr>
          <w:b/>
          <w:sz w:val="19"/>
        </w:rPr>
        <w:t xml:space="preserve">Übertragbarkeit: </w:t>
      </w:r>
      <w:r>
        <w:rPr>
          <w:sz w:val="19"/>
        </w:rPr>
        <w:t>Frankreich, vergleichbare Schulstrukturen und Impfprogramme.</w:t>
      </w:r>
    </w:p>
    <w:p>
      <w:r>
        <w:rPr>
          <w:color w:val="5A7D3A"/>
          <w:sz w:val="18"/>
        </w:rPr>
        <w:t>https://pubmed.ncbi.nlm.nih.gov/42753385/</w:t>
      </w:r>
    </w:p>
    <w:p>
      <w:pPr>
        <w:pStyle w:val="Heading2"/>
      </w:pPr>
      <w:r>
        <w:t>Pertussis-Impfung in der Schwangerschaft: Einflussfaktoren und Impfskepsis in den Niederlanden</w:t>
      </w:r>
    </w:p>
    <w:p>
      <w:r>
        <w:rPr>
          <w:i/>
          <w:color w:val="666666"/>
          <w:sz w:val="18"/>
        </w:rPr>
        <w:t>van Vreeswijk-van Donselaar L et al.  ·  Vaccine  ·  24.10.2026  ·  PMID 42743752</w:t>
      </w:r>
    </w:p>
    <w:p>
      <w:r>
        <w:t>Retrospektive Kohortenstudie mit 17.513 Müttern aus Jugendgesundheitszentren (Niederlande 2020–März 2025) zu Determinanten der Impfakzeptanz und Gründen für Ablehnung.</w:t>
      </w:r>
    </w:p>
    <w:p>
      <w:r>
        <w:rPr>
          <w:b/>
        </w:rPr>
        <w:t xml:space="preserve">Ergebnis: </w:t>
      </w:r>
      <w:r>
        <w:t>Höhere Impfquote mit älterem Alter (OR 1,78–2,70), Beschäftigung (OR 2,55). Niedrigere Quote bei geringerer Bildung (OR 0,41), Mehrparität (OR 0,61), Geburt außerhalb NL. Mütter ≥41 Jahre lehnten öfter wegen Graviditätsbedenken ab (OR 2,61). Nicht-niederländische Muttersprache führte zu fehlender Info von Fachleuten (OR 2,19–2,96). Impfskepsis verteilt sich über alle soziodemografischen Gruppen.</w:t>
      </w:r>
    </w:p>
    <w:p>
      <w:r>
        <w:rPr>
          <w:b/>
          <w:sz w:val="19"/>
        </w:rPr>
        <w:t xml:space="preserve">Übertragbarkeit: </w:t>
      </w:r>
      <w:r>
        <w:rPr>
          <w:sz w:val="19"/>
        </w:rPr>
        <w:t>Niederlande, ähnliches Versicherungssystem und Impfprogramm.</w:t>
      </w:r>
    </w:p>
    <w:p>
      <w:r>
        <w:rPr>
          <w:color w:val="5A7D3A"/>
          <w:sz w:val="18"/>
        </w:rPr>
        <w:t>https://pubmed.ncbi.nlm.nih.gov/42743752/</w:t>
      </w:r>
    </w:p>
    <w:p>
      <w:pPr>
        <w:pStyle w:val="Heading2"/>
      </w:pPr>
      <w:r>
        <w:t>HPV-Impfung bei Männern senkt Analkrebs-Viren: Effekte sichtbar</w:t>
      </w:r>
    </w:p>
    <w:p>
      <w:r>
        <w:rPr>
          <w:i/>
          <w:color w:val="666666"/>
          <w:sz w:val="18"/>
        </w:rPr>
        <w:t>Checchi M et al.  ·  Vaccine  ·  24.10.2026  ·  PMID 42702144</w:t>
      </w:r>
    </w:p>
    <w:p>
      <w:r>
        <w:t>Überwachungsstudie mit 5.787 Rektaltupfern bei Männern, die Sex mit Männern haben (England 2017–2024, zwei Phasen) zum HPV-Serotyp-Rückgang nach Impfprogrammstart 2016.</w:t>
      </w:r>
    </w:p>
    <w:p>
      <w:r>
        <w:rPr>
          <w:b/>
        </w:rPr>
        <w:t xml:space="preserve">Ergebnis: </w:t>
      </w:r>
      <w:r>
        <w:t>36% Rückgang von HPV16/18-Prävalenz zwischen Phase 1 (2017–19, 3.291 Proben) und Phase 2 (2021–24, 2.496 Proben). HPV16/18-Prävalenz ähnlich in geimpften (16,6%; 95%-KI 15,2–18,1) und ungeimpften (15,8%; 95%-KI 14,5–17,1) Männern. Nachweis von Herdenimmunität und vermutlich Untererfassung von Impfmeldungen.</w:t>
      </w:r>
    </w:p>
    <w:p>
      <w:r>
        <w:rPr>
          <w:b/>
          <w:sz w:val="19"/>
        </w:rPr>
        <w:t xml:space="preserve">Übertragbarkeit: </w:t>
      </w:r>
      <w:r>
        <w:rPr>
          <w:sz w:val="19"/>
        </w:rPr>
        <w:t>England mit Impfregister; Datenqualität höher als Deutschland ohne Register.</w:t>
      </w:r>
    </w:p>
    <w:p>
      <w:r>
        <w:rPr>
          <w:color w:val="5A7D3A"/>
          <w:sz w:val="18"/>
        </w:rPr>
        <w:t>https://pubmed.ncbi.nlm.nih.gov/42702144/</w:t>
      </w:r>
    </w:p>
    <w:p>
      <w:pPr>
        <w:pStyle w:val="Heading1"/>
      </w:pPr>
      <w:r>
        <w:t>Aufgenommen am 27.09.2026</w:t>
      </w:r>
    </w:p>
    <w:p>
      <w:pPr>
        <w:pStyle w:val="Heading2"/>
      </w:pPr>
      <w:r>
        <w:t>Nirsevimab-Immunisierung senkte RSV-Hospitalisierung bei Neugeborenen um 78 %</w:t>
      </w:r>
    </w:p>
    <w:p>
      <w:r>
        <w:rPr>
          <w:i/>
          <w:color w:val="666666"/>
          <w:sz w:val="18"/>
        </w:rPr>
        <w:t>Auriti C et al.  ·  Viruses  ·  07.09.2026  ·  PMID 42797813</w:t>
      </w:r>
    </w:p>
    <w:p>
      <w:r>
        <w:t>Italienische Studie zur Wirksamkeit der universellen Nirsevimab-Prophylaxe gegen RSV-assoziierte Krankenhauseinweisungen bei Neugeborenen im Routinebetrieb.</w:t>
      </w:r>
    </w:p>
    <w:p>
      <w:r>
        <w:rPr>
          <w:b/>
        </w:rPr>
        <w:t xml:space="preserve">Ergebnis: </w:t>
      </w:r>
      <w:r>
        <w:t>78,3 % Wirksamkeit gegen RSV-assoziierte Hospitalisierung; Nirsevimab-geimpfte Infanten hatten niedrigere RSV-Infektionsrate (33,99 % vs. 68,21 %; p&lt;0,001) und benötigten seltener Atemunterstützung (55,23 % vs. 70,07 %; p&lt;0,001). Unter hospitalisierten Infanten zeigte sich ein 80,2 % Rückgang der Atemunterstützung und 64,3 % weniger NICU-Aufnahmen durch Impfung.</w:t>
      </w:r>
    </w:p>
    <w:p>
      <w:r>
        <w:rPr>
          <w:b/>
          <w:sz w:val="19"/>
        </w:rPr>
        <w:t xml:space="preserve">Übertragbarkeit: </w:t>
      </w:r>
      <w:r>
        <w:rPr>
          <w:sz w:val="19"/>
        </w:rPr>
        <w:t>Italien, vergleichbares Versicherungssystem und Impfkalender wie DACH</w:t>
      </w:r>
    </w:p>
    <w:p>
      <w:r>
        <w:rPr>
          <w:color w:val="5A7D3A"/>
          <w:sz w:val="18"/>
        </w:rPr>
        <w:t>https://pubmed.ncbi.nlm.nih.gov/42797813/</w:t>
      </w:r>
    </w:p>
    <w:p>
      <w:pPr>
        <w:pStyle w:val="Heading2"/>
      </w:pPr>
      <w:r>
        <w:t>Pneumokokken-Nasopharyngeal-Besiedlung bei hospitalisierten Kindern in Lettland</w:t>
      </w:r>
    </w:p>
    <w:p>
      <w:r>
        <w:rPr>
          <w:i/>
          <w:color w:val="666666"/>
          <w:sz w:val="18"/>
        </w:rPr>
        <w:t>Cupeca H et al.  ·  PLoS One  ·  25.09.2026  ·  PMID 42789531</w:t>
      </w:r>
    </w:p>
    <w:p>
      <w:r>
        <w:t>Querschnittsstudie zur Prävalenz und Serotyp-Verteilung von Pneumokokken-Besiedlung bei hospitalisierten Kindern während des Übergangs von PCV13 zu PCV15/PCV20.</w:t>
      </w:r>
    </w:p>
    <w:p>
      <w:r>
        <w:rPr>
          <w:b/>
        </w:rPr>
        <w:t xml:space="preserve">Ergebnis: </w:t>
      </w:r>
      <w:r>
        <w:t>Gesamtprävalenz der Besiedlung 21,8 % (70/321; 95%-KI: 17,6–26,6%); PCV-Impfquote 63,2 % (203/321), überwiegend PCV10; kein signifikanter Unterschied zwischen geimpften und ungeimpften Kindern (25,6 % vs. 16,7 %; p=0,138); häufigste Serotypen 20, 13, 48 – keine in PCV13-abgedeckt.</w:t>
      </w:r>
    </w:p>
    <w:p>
      <w:r>
        <w:rPr>
          <w:b/>
          <w:sz w:val="19"/>
        </w:rPr>
        <w:t xml:space="preserve">Übertragbarkeit: </w:t>
      </w:r>
      <w:r>
        <w:rPr>
          <w:sz w:val="19"/>
        </w:rPr>
        <w:t>Baltische Region, aber Daten übertragbar auf deutschsprachige Länder bei ähnlichem PCV-Übergang</w:t>
      </w:r>
    </w:p>
    <w:p>
      <w:r>
        <w:rPr>
          <w:color w:val="5A7D3A"/>
          <w:sz w:val="18"/>
        </w:rPr>
        <w:t>https://pubmed.ncbi.nlm.nih.gov/42789531/</w:t>
      </w:r>
    </w:p>
    <w:p>
      <w:pPr>
        <w:pStyle w:val="Heading2"/>
      </w:pPr>
      <w:r>
        <w:t>Vertrauen und mRNA-Impfstoffakzeptanz durch deliberative Dialoge stärken</w:t>
      </w:r>
    </w:p>
    <w:p>
      <w:r>
        <w:rPr>
          <w:i/>
          <w:color w:val="666666"/>
          <w:sz w:val="18"/>
        </w:rPr>
        <w:t>Plamondon K et al.  ·  JMIR Res Protoc  ·  25.09.2026  ·  PMID 42789402</w:t>
      </w:r>
    </w:p>
    <w:p>
      <w:r>
        <w:t>Protokoll einer sequenziellen deliberativen Dialogstudie zu Bedingungen für informierte Öffentlichkeitsbeteiligung, Vertrauen und Akzeptanz emergenter Vakzin-Technologien am Beispiel mRNA-Impfstoffe.</w:t>
      </w:r>
    </w:p>
    <w:p>
      <w:r>
        <w:rPr>
          <w:b/>
        </w:rPr>
        <w:t xml:space="preserve">Ergebnis: </w:t>
      </w:r>
      <w:r>
        <w:t>Bis Juni 2026: 10 deliberative Dialoge und 1 selbstgeleiteter Dialog mit 77 Beteiligten durchgeführt; 2 summative Dialoge mit 18 Teilnehmern; erwartete Publikation Zweite Hälfte 2026; Fokus auf Verbesserung von Wissenschaftskompetenz, tailored Kommunikation unter Berücksichtigung historischer Ungleichheiten und Navigation von Polarisierung rund um Impfung.</w:t>
      </w:r>
    </w:p>
    <w:p>
      <w:r>
        <w:rPr>
          <w:b/>
          <w:sz w:val="19"/>
        </w:rPr>
        <w:t xml:space="preserve">Übertragbarkeit: </w:t>
      </w:r>
      <w:r>
        <w:rPr>
          <w:sz w:val="19"/>
        </w:rPr>
        <w:t>Kanada, aber deliberative Methode und Vertrauensfragen universal auf deutschsprachige Systeme übertragbar</w:t>
      </w:r>
    </w:p>
    <w:p>
      <w:r>
        <w:rPr>
          <w:color w:val="5A7D3A"/>
          <w:sz w:val="18"/>
        </w:rPr>
        <w:t>https://pubmed.ncbi.nlm.nih.gov/42789402/</w:t>
      </w:r>
    </w:p>
    <w:p>
      <w:pPr>
        <w:pStyle w:val="Heading2"/>
      </w:pPr>
      <w:r>
        <w:t>Hochdosis-Influenzaimpfung für kardiovaskuläre Prävention bei älteren Patienten</w:t>
      </w:r>
    </w:p>
    <w:p>
      <w:r>
        <w:rPr>
          <w:i/>
          <w:color w:val="666666"/>
          <w:sz w:val="18"/>
        </w:rPr>
        <w:t>Volpe M et al.  ·  G Ital Cardiol (Rome)  ·  Okt. 2026  ·  PMID 42788302</w:t>
      </w:r>
    </w:p>
    <w:p>
      <w:r>
        <w:t>Konsens-Papier fünf italienischer Fachgesellschaften zur Influenzaimpfung als Prävention kardiovaskulärer Komplikationen bei Risikopatienten, basierend auf FLUNITY-HD-Daten.</w:t>
      </w:r>
    </w:p>
    <w:p>
      <w:r>
        <w:rPr>
          <w:b/>
        </w:rPr>
        <w:t xml:space="preserve">Ergebnis: </w:t>
      </w:r>
      <w:r>
        <w:t>Hochdosis-Influenzaimpfung zeigt signifikante Vorteile gegenüber Standarddosis; Empfehlung für ältere Patienten und solche mit kardiovaskulärer Erkrankung zur Stärkung der Immunantwort und besseren kardiovaskulären Schutz.</w:t>
      </w:r>
    </w:p>
    <w:p>
      <w:r>
        <w:rPr>
          <w:b/>
          <w:sz w:val="19"/>
        </w:rPr>
        <w:t xml:space="preserve">Übertragbarkeit: </w:t>
      </w:r>
      <w:r>
        <w:rPr>
          <w:sz w:val="19"/>
        </w:rPr>
        <w:t>Italien, aber zunehmende Evidenz aus großen europäischen Studien; übertragbar auf deutsche Impfpraxis</w:t>
      </w:r>
    </w:p>
    <w:p>
      <w:r>
        <w:rPr>
          <w:color w:val="5A7D3A"/>
          <w:sz w:val="18"/>
        </w:rPr>
        <w:t>https://pubmed.ncbi.nlm.nih.gov/42788302/</w:t>
      </w:r>
    </w:p>
    <w:p>
      <w:pPr>
        <w:pStyle w:val="Heading2"/>
      </w:pPr>
      <w:r>
        <w:t>Anti-CD19-CAR-T-Therapie in SLE: Keine Signale für beeinträchtigte Eierstockreserve</w:t>
      </w:r>
    </w:p>
    <w:p>
      <w:r>
        <w:rPr>
          <w:i/>
          <w:color w:val="666666"/>
          <w:sz w:val="18"/>
        </w:rPr>
        <w:t>Pecher AC et al.  ·  Rheumatology (Oxford)  ·  01.08.2026  ·  PMID 42584071</w:t>
      </w:r>
    </w:p>
    <w:p>
      <w:r>
        <w:t>Longitudinale Studie zu reproduktiven Hormonmarkern bei 13 Frauen mit schwerem, therapierefraktärem SLE nach anti-CD19-CAR-T-Zelltherapie.</w:t>
      </w:r>
    </w:p>
    <w:p>
      <w:r>
        <w:rPr>
          <w:b/>
        </w:rPr>
        <w:t xml:space="preserve">Ergebnis: </w:t>
      </w:r>
      <w:r>
        <w:t>AMH-Level stabil (1,54 ng/ml [IQR 0,64–3,15] vs. 2,14 ng/ml [0,63–3,26]; p=0,886); FSH moderat erhöht (6,60 IU/l [4,00–7,90] vs. 7,20 IU/l [4,50–9,90]; p=0,033), aber ohne begleitenden AMH-Rückgang; keine Signale einer beeinträchtigten Eierstockreserve unter Standardlymphodepletion.</w:t>
      </w:r>
    </w:p>
    <w:p>
      <w:r>
        <w:rPr>
          <w:b/>
          <w:sz w:val="19"/>
        </w:rPr>
        <w:t xml:space="preserve">Übertragbarkeit: </w:t>
      </w:r>
      <w:r>
        <w:rPr>
          <w:sz w:val="19"/>
        </w:rPr>
        <w:t>Deutschland, Schweiz, Österreich – Immuntherapie-Zentren mit ähnlicher CAR-T-Infrastruktur</w:t>
      </w:r>
    </w:p>
    <w:p>
      <w:r>
        <w:rPr>
          <w:color w:val="5A7D3A"/>
          <w:sz w:val="18"/>
        </w:rPr>
        <w:t>https://pubmed.ncbi.nlm.nih.gov/42584071/</w:t>
      </w:r>
    </w:p>
    <w:p>
      <w:pPr>
        <w:pStyle w:val="Heading2"/>
      </w:pPr>
      <w:r>
        <w:t>Internetnutzung hat ambivalente Effekte auf Impfskepsis: Hochschulrechnung mit 48.538 Personen</w:t>
      </w:r>
    </w:p>
    <w:p>
      <w:r>
        <w:rPr>
          <w:i/>
          <w:color w:val="666666"/>
          <w:sz w:val="18"/>
        </w:rPr>
        <w:t>Helbing A et al.  ·  J Community Health  ·  16.07.2026  ·  PMID 42461515</w:t>
      </w:r>
    </w:p>
    <w:p>
      <w:r>
        <w:t>Multilevel-Logit-Analyse zu Zusammenhang zwischen Internetnutzung, digitaler Gesundheitskompetenz (DHL) und Impfskepsis auf Basis der ISSP 2021-Daten.</w:t>
      </w:r>
    </w:p>
    <w:p>
      <w:r>
        <w:rPr>
          <w:b/>
        </w:rPr>
        <w:t xml:space="preserve">Ergebnis: </w:t>
      </w:r>
      <w:r>
        <w:t>Nicht-lineare Beziehung: Personen ohne Internetzugang und solche mit sehr häufiger Online-Suche nach Impfinformation zeigen höhere Skepsis; niedrige DHL konsistent mit mehr Impfskepsis assoziiert; Unzufriedenheit mit Gesundheitssystem und niedrigere nationale Gesundheitsqualität verstärken Skepsis; Internetnutzung ist sowohl Bildungs- als auch Fehlinformationspotenzial.</w:t>
      </w:r>
    </w:p>
    <w:p>
      <w:r>
        <w:rPr>
          <w:b/>
          <w:sz w:val="19"/>
        </w:rPr>
        <w:t xml:space="preserve">Übertragbarkeit: </w:t>
      </w:r>
      <w:r>
        <w:rPr>
          <w:sz w:val="19"/>
        </w:rPr>
        <w:t>48 Länder (ISSP), inklusive Deutschland; vergleichbare Sozialversicherungssysteme</w:t>
      </w:r>
    </w:p>
    <w:p>
      <w:r>
        <w:rPr>
          <w:color w:val="5A7D3A"/>
          <w:sz w:val="18"/>
        </w:rPr>
        <w:t>https://pubmed.ncbi.nlm.nih.gov/42461515/</w:t>
      </w:r>
    </w:p>
    <w:p>
      <w:pPr>
        <w:pStyle w:val="Heading1"/>
      </w:pPr>
      <w:r>
        <w:t>Aufgenommen am 26.09.2026</w:t>
      </w:r>
    </w:p>
    <w:p>
      <w:pPr>
        <w:pStyle w:val="Heading2"/>
      </w:pPr>
      <w:r>
        <w:t>Tollwutimpfung bei Kindern in Thailand: Prävention mit Kosten-Nutzen-Vorteilen</w:t>
      </w:r>
    </w:p>
    <w:p>
      <w:r>
        <w:rPr>
          <w:i/>
          <w:color w:val="666666"/>
          <w:sz w:val="18"/>
        </w:rPr>
        <w:t>Soopairin S et al.  ·  BMJ Glob Health  ·  25.09.2026  ·  PMID 42791044</w:t>
      </w:r>
    </w:p>
    <w:p>
      <w:r>
        <w:t>Entscheidungsmodell-Analyse zum Kosten-Nutzen-Verhältnis einer Tollwut-Präexpositionsprophylaxe (PrEP) plus Postexpositionsprophylaxe (PEP) versus PEP allein bei 5-Jährigen in Thailand.</w:t>
      </w:r>
    </w:p>
    <w:p>
      <w:r>
        <w:rPr>
          <w:b/>
        </w:rPr>
        <w:t xml:space="preserve">Ergebnis: </w:t>
      </w:r>
      <w:r>
        <w:t>PrEP+PEP intrakutan mit inaktiviertem Hühnerzellvakzin war kosteneffektiv mit 40.977 THB (~1.161 USD) pro qualitätsbereinigtem Lebensjahr vs. PEP allein. Jährliche Bissinzidenz war einflussreichster Parameter; Kosten-Effektivität bleib robust über weitere Parameter.</w:t>
      </w:r>
    </w:p>
    <w:p>
      <w:r>
        <w:rPr>
          <w:b/>
          <w:sz w:val="19"/>
        </w:rPr>
        <w:t xml:space="preserve">Übertragbarkeit: </w:t>
      </w:r>
      <w:r>
        <w:rPr>
          <w:sz w:val="19"/>
        </w:rPr>
        <w:t>Thailand, außereuropäisches System; Kosten-Nutzen-Befund ist methodisch übertragbar für Priorisierung in Impfprogrammen.</w:t>
      </w:r>
    </w:p>
    <w:p>
      <w:r>
        <w:rPr>
          <w:color w:val="5A7D3A"/>
          <w:sz w:val="18"/>
        </w:rPr>
        <w:t>https://pubmed.ncbi.nlm.nih.gov/42791044/</w:t>
      </w:r>
    </w:p>
    <w:p>
      <w:pPr>
        <w:pStyle w:val="Heading2"/>
      </w:pPr>
      <w:r>
        <w:t>Influenza-Impfquoten in der Praxis: Defizite bei hochwertigen Impfstoffen</w:t>
      </w:r>
    </w:p>
    <w:p>
      <w:r>
        <w:rPr>
          <w:i/>
          <w:color w:val="666666"/>
          <w:sz w:val="18"/>
        </w:rPr>
        <w:t>Amicizia D et al.  ·  Hum Vaccin Immunother  ·  25.09.2026  ·  PMID 42788870</w:t>
      </w:r>
    </w:p>
    <w:p>
      <w:r>
        <w:t>Italienische Studie zur Influenzaimpfung ≥60-Jähriger in zwei Saisons (2023/24 und 2024/25), die den Wechsel zu dezentraler Versorgung durch Apotheken und Hausärzte untersucht.</w:t>
      </w:r>
    </w:p>
    <w:p>
      <w:r>
        <w:rPr>
          <w:b/>
        </w:rPr>
        <w:t xml:space="preserve">Ergebnis: </w:t>
      </w:r>
      <w:r>
        <w:t>Gesamtquote sank um 6% zwischen den Saisons; nur 65% (2023/24) bzw. 73% (2024/25) der ≥65-Jährigen erhielten altersgerechte hochdosierte Impfstoffe. Dezentrale Versorgung steigerte zwar Erreichbarkeit, führte aber zu erheblicher Varianz bei der Impfstoffwahl und suboptimalen Plattformen bei Hochrisikogruppen.</w:t>
      </w:r>
    </w:p>
    <w:p>
      <w:r>
        <w:rPr>
          <w:b/>
          <w:sz w:val="19"/>
        </w:rPr>
        <w:t xml:space="preserve">Übertragbarkeit: </w:t>
      </w:r>
      <w:r>
        <w:rPr>
          <w:sz w:val="19"/>
        </w:rPr>
        <w:t>Italien, vergleichbares Gesundheitssystem; zeigt Hürden bei Umsetzung von Leitlinien in dezentraler Versorgung.</w:t>
      </w:r>
    </w:p>
    <w:p>
      <w:r>
        <w:rPr>
          <w:color w:val="5A7D3A"/>
          <w:sz w:val="18"/>
        </w:rPr>
        <w:t>https://pubmed.ncbi.nlm.nih.gov/42788870/</w:t>
      </w:r>
    </w:p>
    <w:p>
      <w:pPr>
        <w:pStyle w:val="Heading2"/>
      </w:pPr>
      <w:r>
        <w:t>HPV-Impfung und Krebsvorsorge in Brasilien: Pandemie-Folgen bei Ungleichheit</w:t>
      </w:r>
    </w:p>
    <w:p>
      <w:r>
        <w:rPr>
          <w:i/>
          <w:color w:val="666666"/>
          <w:sz w:val="18"/>
        </w:rPr>
        <w:t>Carvalho TS et al.  ·  Rev Inst Med Trop Sao Paulo  ·  18.09.2026  ·  PMID 42788601</w:t>
      </w:r>
    </w:p>
    <w:p>
      <w:r>
        <w:t>Ökologische Studie (2016–2021) zur Auswirkung der COVID-19-Pandemie auf HPV-Impfquoten und Pap-Abstrich-Screening in Sao Paulo State mittels öffentlicher Datenbank.</w:t>
      </w:r>
    </w:p>
    <w:p>
      <w:r>
        <w:rPr>
          <w:b/>
        </w:rPr>
        <w:t xml:space="preserve">Ergebnis: </w:t>
      </w:r>
      <w:r>
        <w:t>HPV-Impfquoten stiegen 2020, hielten aber 2021 nicht an. Pap-Abstriche sanken 2020 und erholten sich 2021 nur teilweise, besonders in Gemeinden mit niedrigen sozioökonomischen Indikatoren. Anzahl der COVID-19-Fälle war nicht stark assoziiert mit Schwankungen in Präventionsdiensten.</w:t>
      </w:r>
    </w:p>
    <w:p>
      <w:r>
        <w:rPr>
          <w:b/>
          <w:sz w:val="19"/>
        </w:rPr>
        <w:t xml:space="preserve">Übertragbarkeit: </w:t>
      </w:r>
      <w:r>
        <w:rPr>
          <w:sz w:val="19"/>
        </w:rPr>
        <w:t>Brasilien, öffentliche Gesundheitsverwaltung; zeigt Resilienz-Probleme bei integrierten Präventionsprogrammen unter Krise, besonders bei vulnerablen Bevölkerungen.</w:t>
      </w:r>
    </w:p>
    <w:p>
      <w:r>
        <w:rPr>
          <w:color w:val="5A7D3A"/>
          <w:sz w:val="18"/>
        </w:rPr>
        <w:t>https://pubmed.ncbi.nlm.nih.gov/42788601/</w:t>
      </w:r>
    </w:p>
    <w:p>
      <w:pPr>
        <w:pStyle w:val="Heading2"/>
      </w:pPr>
      <w:r>
        <w:t>Sicherheit von HPV-Impfstoffen in China: Verträglichkeit unter Alltag</w:t>
      </w:r>
    </w:p>
    <w:p>
      <w:r>
        <w:rPr>
          <w:i/>
          <w:color w:val="666666"/>
          <w:sz w:val="18"/>
        </w:rPr>
        <w:t>Xie M et al.  ·  Hum Vaccin Immunother  ·  25.09.2026  ·  PMID 42788243</w:t>
      </w:r>
    </w:p>
    <w:p>
      <w:r>
        <w:t>Postmarketing-Sicherheitsüberwachung von HPV-Impfstoffen in Shandong 2017–2025 mittels Nebenwirkungsmeldungen.</w:t>
      </w:r>
    </w:p>
    <w:p>
      <w:r>
        <w:rPr>
          <w:b/>
        </w:rPr>
        <w:t xml:space="preserve">Ergebnis: </w:t>
      </w:r>
      <w:r>
        <w:t>1.056 Meldungen bei ~13,2 Millionen Dosen (Quote 7,99 pro 100.000 Dosen); 95,46% leichte Reaktionen, 1,42% seltene unerwünschte Ereignisse (u.a. Myalgie, Induration &gt;5 cm, Immunthrombozytopenie). Sicherheitsprofil insgesamt gut.</w:t>
      </w:r>
    </w:p>
    <w:p>
      <w:r>
        <w:rPr>
          <w:b/>
          <w:sz w:val="19"/>
        </w:rPr>
        <w:t xml:space="preserve">Übertragbarkeit: </w:t>
      </w:r>
      <w:r>
        <w:rPr>
          <w:sz w:val="19"/>
        </w:rPr>
        <w:t>China, anderes Meldesystem; bestätigt gutes Sicherheitsprofil auch bei Millionenfach-Anwendung.</w:t>
      </w:r>
    </w:p>
    <w:p>
      <w:r>
        <w:rPr>
          <w:color w:val="5A7D3A"/>
          <w:sz w:val="18"/>
        </w:rPr>
        <w:t>https://pubmed.ncbi.nlm.nih.gov/42788243/</w:t>
      </w:r>
    </w:p>
    <w:p>
      <w:pPr>
        <w:pStyle w:val="Heading2"/>
      </w:pPr>
      <w:r>
        <w:t>Enterovirus-71-Impfung senkt Fallzahlen von Hand-Fuß-Mund-Krankheit</w:t>
      </w:r>
    </w:p>
    <w:p>
      <w:r>
        <w:rPr>
          <w:i/>
          <w:color w:val="666666"/>
          <w:sz w:val="18"/>
        </w:rPr>
        <w:t>Li K et al.  ·  JMIR Public Health Surveill  ·  24.09.2026  ·  PMID 42785728</w:t>
      </w:r>
    </w:p>
    <w:p>
      <w:r>
        <w:t>Überwachungsstudie (2008–2023) in Anhui, China zur Epidemiologie von Hand-Fuß-Mund-Krankheit (HFMD) nach Einführung der EV71-Impfung und während COVID-19-Pandemie.</w:t>
      </w:r>
    </w:p>
    <w:p>
      <w:r>
        <w:rPr>
          <w:b/>
        </w:rPr>
        <w:t xml:space="preserve">Ergebnis: </w:t>
      </w:r>
      <w:r>
        <w:t>Typisierte EV71-Fälle sanken von 45,8% (vor Impfung) auf 3,4% (während COVID-19); Vorhersagemodelle für 2017–2019 zeigten 470 beobachtete vs. 659 vorhergesagte EV71-Fälle 2017 (95%-PI 467–933). Gesamtlast HFMD während COVID-19 substanziell unter Prognose, Todesfälle ab 2020 keine gemeldet.</w:t>
      </w:r>
    </w:p>
    <w:p>
      <w:r>
        <w:rPr>
          <w:b/>
          <w:sz w:val="19"/>
        </w:rPr>
        <w:t xml:space="preserve">Übertragbarkeit: </w:t>
      </w:r>
      <w:r>
        <w:rPr>
          <w:sz w:val="19"/>
        </w:rPr>
        <w:t>China, Überwachungsdaten; zeigt reale Impfeffektivität bei Bevölkerungsergebnissen unter Alltagsbedingungen.</w:t>
      </w:r>
    </w:p>
    <w:p>
      <w:r>
        <w:rPr>
          <w:color w:val="5A7D3A"/>
          <w:sz w:val="18"/>
        </w:rPr>
        <w:t>https://pubmed.ncbi.nlm.nih.gov/42785728/</w:t>
      </w:r>
    </w:p>
    <w:p>
      <w:pPr>
        <w:pStyle w:val="Heading2"/>
      </w:pPr>
      <w:r>
        <w:t>COVID-19-Impfung überwindet HLA-bedingte Unterschiede in Antikörper-Breite</w:t>
      </w:r>
    </w:p>
    <w:p>
      <w:r>
        <w:rPr>
          <w:i/>
          <w:color w:val="666666"/>
          <w:sz w:val="18"/>
        </w:rPr>
        <w:t>Nguyen TTN et al.  ·  Front Immunol  ·  08.09.2026  ·  PMID 42774458</w:t>
      </w:r>
    </w:p>
    <w:p>
      <w:r>
        <w:t>Longitudinale Kohortenstudie an 189 vietnamesischen Erwachsenen vor und nach COVID-19-Impfung, mit HLA-Genotypisierung und Neutralisierungstests gegen Variants of Concern.</w:t>
      </w:r>
    </w:p>
    <w:p>
      <w:r>
        <w:rPr>
          <w:b/>
        </w:rPr>
        <w:t xml:space="preserve">Ergebnis: </w:t>
      </w:r>
      <w:r>
        <w:t>Impfung erhöhte Antikörpertiter gegen Wuhan um 132-fach und gegen Omikron 10-fach; Neutralisierungbreite erweiterte sich substanziell. HLA-Assoziationen bei Zeitpunkt 1 beobachtet, aber Impfung erwies sich als stärkster Faktor für Neutralisierungsbreite bei Monat 15 (p&lt;0,001 in multivariablen Modellen).</w:t>
      </w:r>
    </w:p>
    <w:p>
      <w:r>
        <w:rPr>
          <w:b/>
          <w:sz w:val="19"/>
        </w:rPr>
        <w:t xml:space="preserve">Übertragbarkeit: </w:t>
      </w:r>
      <w:r>
        <w:rPr>
          <w:sz w:val="19"/>
        </w:rPr>
        <w:t>Vietnam, Hybridimmunität; zeigt, dass Impfung genetische Heterogenität in Antikörper-Breite überlagert und Population-spezifische Langzeitimmunität aufbaut.</w:t>
      </w:r>
    </w:p>
    <w:p>
      <w:r>
        <w:rPr>
          <w:color w:val="5A7D3A"/>
          <w:sz w:val="18"/>
        </w:rPr>
        <w:t>https://pubmed.ncbi.nlm.nih.gov/42774458/</w:t>
      </w:r>
    </w:p>
    <w:p>
      <w:pPr>
        <w:pStyle w:val="Heading1"/>
      </w:pPr>
      <w:r>
        <w:t>Aufgenommen am 25.09.2026</w:t>
      </w:r>
    </w:p>
    <w:p>
      <w:pPr>
        <w:pStyle w:val="Heading2"/>
      </w:pPr>
      <w:r>
        <w:t>SARS-CoV-2-Impfstoffverfügbarkeit in ruralen Regionen sub-Sahara-Afrikas – systematisches Reviewprotokoll</w:t>
      </w:r>
    </w:p>
    <w:p>
      <w:r>
        <w:rPr>
          <w:i/>
          <w:color w:val="666666"/>
          <w:sz w:val="18"/>
        </w:rPr>
        <w:t>Nyangi E et al.  ·  BMJ Open  ·  24.09.2026  ·  PMID 42785944</w:t>
      </w:r>
    </w:p>
    <w:p>
      <w:r>
        <w:t>Systematisches Reviewprotokoll zu Verfügbarkeit und Erreichbarkeit von COVID-19-Impfstoffen bei ruraler Bevölkerung in sub-Sahara-Afrika (Suche Oktober 2025–Oktober 2027).</w:t>
      </w:r>
    </w:p>
    <w:p>
      <w:r>
        <w:rPr>
          <w:b/>
        </w:rPr>
        <w:t xml:space="preserve">Ergebnis: </w:t>
      </w:r>
      <w:r>
        <w:t>Systematisches Review und Meta-Analyse in Planung; quantitative Befunde werden mit Modell mit Zufallseffekten gepoolt, qualitative Befunde thematisch synthetisiert. Schwerpunkt: strukturelle Barrieren, schwache Gesundheitssysteme, Ressourcenmangel.</w:t>
      </w:r>
    </w:p>
    <w:p>
      <w:r>
        <w:rPr>
          <w:b/>
          <w:sz w:val="19"/>
        </w:rPr>
        <w:t xml:space="preserve">Übertragbarkeit: </w:t>
      </w:r>
      <w:r>
        <w:rPr>
          <w:sz w:val="19"/>
        </w:rPr>
        <w:t>Sub-Sahara-Afrika, methodisch relevant für Reichweitenanalysen, aber Ressourcenlage sehr unterschiedlich</w:t>
      </w:r>
    </w:p>
    <w:p>
      <w:r>
        <w:rPr>
          <w:color w:val="5A7D3A"/>
          <w:sz w:val="18"/>
        </w:rPr>
        <w:t>https://pubmed.ncbi.nlm.nih.gov/42785944/</w:t>
      </w:r>
    </w:p>
    <w:p>
      <w:pPr>
        <w:pStyle w:val="Heading2"/>
      </w:pPr>
      <w:r>
        <w:t>Kostenloses Grippeimpfangebot erhöht Impfquote und psychisches Wohlbefinden älterer Menschen</w:t>
      </w:r>
    </w:p>
    <w:p>
      <w:r>
        <w:rPr>
          <w:i/>
          <w:color w:val="666666"/>
          <w:sz w:val="18"/>
        </w:rPr>
        <w:t>Wang Y  ·  Front Public Health  ·  09.09.2026  ·  PMID 42780378</w:t>
      </w:r>
    </w:p>
    <w:p>
      <w:r>
        <w:t>Chinesische Differenz-in-Differenzen-Analyse zur Wirkung einer kostenlosen Grippeimpfpolitik für die Bevölkerung ab 60 Jahren auf Impfquoten und Gesundheit.</w:t>
      </w:r>
    </w:p>
    <w:p>
      <w:r>
        <w:rPr>
          <w:b/>
        </w:rPr>
        <w:t xml:space="preserve">Ergebnis: </w:t>
      </w:r>
      <w:r>
        <w:t>Die Impfquote stieg um 23 Prozentpunkte. Die Wahrscheinlichkeit, dass gesundheitliche Probleme die täglichen Aktivitäten einschränken, sank um 16,9 Prozentpunkte; das Gefühl von Energie stieg um 28,1 Prozentpunkte. Der Effekt funktioniert über Verhaltenspfade, nicht nur biologisch.</w:t>
      </w:r>
    </w:p>
    <w:p>
      <w:r>
        <w:rPr>
          <w:b/>
          <w:sz w:val="19"/>
        </w:rPr>
        <w:t xml:space="preserve">Übertragbarkeit: </w:t>
      </w:r>
      <w:r>
        <w:rPr>
          <w:sz w:val="19"/>
        </w:rPr>
        <w:t>China, aber Versorgungsfrage (Kostenfreiheit und Quote) übertragbar auf Deutschland-Diskussionen zur Impffinanzierung</w:t>
      </w:r>
    </w:p>
    <w:p>
      <w:r>
        <w:rPr>
          <w:color w:val="5A7D3A"/>
          <w:sz w:val="18"/>
        </w:rPr>
        <w:t>https://pubmed.ncbi.nlm.nih.gov/42780378/</w:t>
      </w:r>
    </w:p>
    <w:p>
      <w:pPr>
        <w:pStyle w:val="Heading2"/>
      </w:pPr>
      <w:r>
        <w:t>Impfwissen und Eigenimpfung prägen Impfempfehlung durch Gesundheitspersonal</w:t>
      </w:r>
    </w:p>
    <w:p>
      <w:r>
        <w:rPr>
          <w:i/>
          <w:color w:val="666666"/>
          <w:sz w:val="18"/>
        </w:rPr>
        <w:t>Shi H et al.  ·  Front Public Health  ·  09.09.2026  ·  PMID 42780248</w:t>
      </w:r>
    </w:p>
    <w:p>
      <w:r>
        <w:t>Querschnittstudie zu Pfad zwischen Grippeimpfwissen, Eigenimpfung, zukünftiger Impfbereitschaft und Empfehlungsverhalten bei 4.238 Beschäftigten im Gesundheitswesen in Beijing.</w:t>
      </w:r>
    </w:p>
    <w:p>
      <w:r>
        <w:rPr>
          <w:b/>
        </w:rPr>
        <w:t xml:space="preserve">Ergebnis: </w:t>
      </w:r>
      <w:r>
        <w:t>22,1 % waren aktuell geimpft, 43,7 % wollten sich nächste Saison impfen, 82,0 % empfahlen Impfung Patienten. Impfwissen korrelierte mit Impfquote (β = 0,09, p &lt; 0,001); Eigenimpfung vorhersagend für zukünftige Impfbereitschaft (β = 0,47); zukünftige Bereitschaft stärkster Prädiktor für Empfehlung (β = 0,41, p &lt; 0,001).</w:t>
      </w:r>
    </w:p>
    <w:p>
      <w:r>
        <w:rPr>
          <w:b/>
          <w:sz w:val="19"/>
        </w:rPr>
        <w:t xml:space="preserve">Übertragbarkeit: </w:t>
      </w:r>
      <w:r>
        <w:rPr>
          <w:sz w:val="19"/>
        </w:rPr>
        <w:t>China, aber Pfadmodell (Wissen → Verhalten → Empfehlung) systemübergreifend relevant</w:t>
      </w:r>
    </w:p>
    <w:p>
      <w:r>
        <w:rPr>
          <w:color w:val="5A7D3A"/>
          <w:sz w:val="18"/>
        </w:rPr>
        <w:t>https://pubmed.ncbi.nlm.nih.gov/42780248/</w:t>
      </w:r>
    </w:p>
    <w:p>
      <w:pPr>
        <w:pStyle w:val="Heading2"/>
      </w:pPr>
      <w:r>
        <w:t>Impflücken bei Flüchtlingen und Migranten in Uganda: Systematische Analyse von Barrieren und Lösungen</w:t>
      </w:r>
    </w:p>
    <w:p>
      <w:r>
        <w:rPr>
          <w:i/>
          <w:color w:val="666666"/>
          <w:sz w:val="18"/>
        </w:rPr>
        <w:t>Nakachwa SM et al.  ·  Glob Public Health  ·  31.12.2026  ·  PMID 42776600</w:t>
      </w:r>
    </w:p>
    <w:p>
      <w:r>
        <w:t>Narrative Review zu Impfquoten, Barrieren und Maßnahmen bei Flüchtlingen und Migranten in Uganda bis September 2025.</w:t>
      </w:r>
    </w:p>
    <w:p>
      <w:r>
        <w:rPr>
          <w:b/>
        </w:rPr>
        <w:t xml:space="preserve">Ergebnis: </w:t>
      </w:r>
      <w:r>
        <w:t>Flüchtlings-Impfquoten unter nationalen Durchschnitten durch administrative Hürden, Engpässe, Entfernungen, Sprachhindernisse und Desinformation. Erfolgreiche Ansätze: Integration in nationale Systeme, vereinfachte Registrierung, mobile Angebote, Gemeindegesundheitspersonal, grenzübergreifende Datenkoordination.</w:t>
      </w:r>
    </w:p>
    <w:p>
      <w:r>
        <w:rPr>
          <w:b/>
          <w:sz w:val="19"/>
        </w:rPr>
        <w:t xml:space="preserve">Übertragbarkeit: </w:t>
      </w:r>
      <w:r>
        <w:rPr>
          <w:sz w:val="19"/>
        </w:rPr>
        <w:t>Uganda, aber Barrieren und Strategien (mobil, registrierungsarmut) für vulnerable Gruppen übertragbar</w:t>
      </w:r>
    </w:p>
    <w:p>
      <w:r>
        <w:rPr>
          <w:color w:val="5A7D3A"/>
          <w:sz w:val="18"/>
        </w:rPr>
        <w:t>https://pubmed.ncbi.nlm.nih.gov/42776600/</w:t>
      </w:r>
    </w:p>
    <w:p>
      <w:pPr>
        <w:pStyle w:val="Heading2"/>
      </w:pPr>
      <w:r>
        <w:t>Grippeimpfquote bei Fachpersonen in Guangzhou: Unterschiede nach Arbeitsstätte und Wissenstyp</w:t>
      </w:r>
    </w:p>
    <w:p>
      <w:r>
        <w:rPr>
          <w:i/>
          <w:color w:val="666666"/>
          <w:sz w:val="18"/>
        </w:rPr>
        <w:t>Lin D et al.  ·  Expert Rev Vaccines  ·  23.09.2026  ·  PMID 42775460</w:t>
      </w:r>
    </w:p>
    <w:p>
      <w:r>
        <w:t>Querschnittstudie unter 3.153 Gesundheitsfachleuten in Grundversorgung, Krankenhäusern und Schulen zur Grippeimpfquote und Empfehlungsverhalten.</w:t>
      </w:r>
    </w:p>
    <w:p>
      <w:r>
        <w:rPr>
          <w:b/>
        </w:rPr>
        <w:t xml:space="preserve">Ergebnis: </w:t>
      </w:r>
      <w:r>
        <w:t>46,2 % waren mindestens in einer der letzten vier Saisons geimpft, durchschnittliche saisonale Quote 28,2 %. Öffentlichkeitsgesundheit: OR 2,53, Schulgesundheit: OR 0,64 vs. Ärzte. Impfstoffwissen positiv assoziiert mit Impfung (OR 1,09) und Empfehlungsverhalten (OR 1,11).</w:t>
      </w:r>
    </w:p>
    <w:p>
      <w:r>
        <w:rPr>
          <w:b/>
          <w:sz w:val="19"/>
        </w:rPr>
        <w:t xml:space="preserve">Übertragbarkeit: </w:t>
      </w:r>
      <w:r>
        <w:rPr>
          <w:sz w:val="19"/>
        </w:rPr>
        <w:t>China, aber Versorgungsmuster (Quote nach Berufsgruppe) international vergleichbar</w:t>
      </w:r>
    </w:p>
    <w:p>
      <w:r>
        <w:rPr>
          <w:color w:val="5A7D3A"/>
          <w:sz w:val="18"/>
        </w:rPr>
        <w:t>https://pubmed.ncbi.nlm.nih.gov/42775460/</w:t>
      </w:r>
    </w:p>
    <w:p>
      <w:pPr>
        <w:pStyle w:val="Heading2"/>
      </w:pPr>
      <w:r>
        <w:t>HPV-Impfung und HPV-Screening kombiniert für vulnerable Frauen in Europa – Implementierungsprotokoll</w:t>
      </w:r>
    </w:p>
    <w:p>
      <w:r>
        <w:rPr>
          <w:i/>
          <w:color w:val="666666"/>
          <w:sz w:val="18"/>
        </w:rPr>
        <w:t>Mosquera I et al.  ·  Cancer Control  ·  02.09.2026  ·  PMID 42683830</w:t>
      </w:r>
    </w:p>
    <w:p>
      <w:r>
        <w:t>Implementierungsstudienprotokoll zur Kapazität von Gesundheitssystemen, HPV-Impfung und HPV-basiertes Screening kombiniert für vulnerable Gruppen (25–45 Jahre) in Spanien, Schweden, Dänemark, Rumänien und Frankreich anzubieten.</w:t>
      </w:r>
    </w:p>
    <w:p>
      <w:r>
        <w:rPr>
          <w:b/>
        </w:rPr>
        <w:t xml:space="preserve">Ergebnis: </w:t>
      </w:r>
      <w:r>
        <w:t>Protokoll umfasst Schreibtischreview, Vor-Ort-Prüfungen und Stakeholder-Interviews. Ziel: Systemkapazität messen und Strategien zur HPV-Schneller-Elimination in Europa tailoriert stärken. Studie läuft.</w:t>
      </w:r>
    </w:p>
    <w:p>
      <w:r>
        <w:rPr>
          <w:b/>
          <w:sz w:val="19"/>
        </w:rPr>
        <w:t xml:space="preserve">Übertragbarkeit: </w:t>
      </w:r>
      <w:r>
        <w:rPr>
          <w:sz w:val="19"/>
        </w:rPr>
        <w:t>Mehrere europäische Länder (DACH-nahes System), vergleichbare nationale Gesundheitssysteme</w:t>
      </w:r>
    </w:p>
    <w:p>
      <w:r>
        <w:rPr>
          <w:color w:val="5A7D3A"/>
          <w:sz w:val="18"/>
        </w:rPr>
        <w:t>https://pubmed.ncbi.nlm.nih.gov/42683830/</w:t>
      </w:r>
    </w:p>
    <w:p>
      <w:pPr>
        <w:pStyle w:val="Heading1"/>
      </w:pPr>
      <w:r>
        <w:t>Aufgenommen am 24.09.2026</w:t>
      </w:r>
    </w:p>
    <w:p>
      <w:pPr>
        <w:pStyle w:val="Heading2"/>
      </w:pPr>
      <w:r>
        <w:t>COVID-19-Impfung: Alter und Bildung bestimmen Annahme in Ostpolen stärker als Lebensstil</w:t>
      </w:r>
    </w:p>
    <w:p>
      <w:r>
        <w:rPr>
          <w:i/>
          <w:color w:val="666666"/>
          <w:sz w:val="18"/>
        </w:rPr>
        <w:t>Karczmarz S et al.  ·  Med Sci Monit  ·  23.09.2026  ·  PMID 42776929</w:t>
      </w:r>
    </w:p>
    <w:p>
      <w:r>
        <w:t>Querschnittsstudie an 458 Primärversorgungspatienten in Polen untersuchte, welche Faktoren mit vollständiger COVID-19-Impfung assoziiert sind.</w:t>
      </w:r>
    </w:p>
    <w:p>
      <w:r>
        <w:rPr>
          <w:b/>
        </w:rPr>
        <w:t xml:space="preserve">Ergebnis: </w:t>
      </w:r>
      <w:r>
        <w:t>Vollständige Impfung war assoziiert mit höherem Alter, höherer Bildung und Rentnerstatus; ländlicher Wohnort zeigte unerwartet höhere Impfquote als urban; Lifestyle-Profile zeigten keine konsistente unabhängige Assoziation mit Impfstatus.</w:t>
      </w:r>
    </w:p>
    <w:p>
      <w:r>
        <w:rPr>
          <w:b/>
          <w:sz w:val="19"/>
        </w:rPr>
        <w:t xml:space="preserve">Übertragbarkeit: </w:t>
      </w:r>
      <w:r>
        <w:rPr>
          <w:sz w:val="19"/>
        </w:rPr>
        <w:t>Polen, vergleichbares Versicherungssystem, dokumentiert Rollen von Zugang und Vertrauen</w:t>
      </w:r>
    </w:p>
    <w:p>
      <w:r>
        <w:rPr>
          <w:color w:val="5A7D3A"/>
          <w:sz w:val="18"/>
        </w:rPr>
        <w:t>https://pubmed.ncbi.nlm.nih.gov/42776929/</w:t>
      </w:r>
    </w:p>
    <w:p>
      <w:pPr>
        <w:pStyle w:val="Heading2"/>
      </w:pPr>
      <w:r>
        <w:t>Moderate bis hohe körperliche Aktivität verstärkt COVID-19-Antikörperreaktion unmittelbar nach Impfung</w:t>
      </w:r>
    </w:p>
    <w:p>
      <w:r>
        <w:rPr>
          <w:i/>
          <w:color w:val="666666"/>
          <w:sz w:val="18"/>
        </w:rPr>
        <w:t>Voulgaridi I et al.  ·  Front Public Health  ·  08.09.2026  ·  PMID 42774463</w:t>
      </w:r>
    </w:p>
    <w:p>
      <w:r>
        <w:t>Längsschnitt-Kohortenstudie mit 641 Erwachsenen untersuchte Assoziation zwischen Bewegungsaktivität und Anti-SARS-CoV-2-IgG/IgA-Antikörpern an den Tagen 21, 42, 90 und 180 nach COVID-19-Impfung.</w:t>
      </w:r>
    </w:p>
    <w:p>
      <w:r>
        <w:rPr>
          <w:b/>
        </w:rPr>
        <w:t xml:space="preserve">Ergebnis: </w:t>
      </w:r>
      <w:r>
        <w:t>IgG-Seropositividät an Tag 21 war höher bei moderater (92,6%) oder hoher (97,0%) Aktivität als bei niedriger (70,4%, p&lt;0,001); älteres Alter mit reduzierten IgG-Titern assoziiert (alle Zeitpunkte p&lt;0,001); Komorbidität mit niedrigeren Titern verknüpft.</w:t>
      </w:r>
    </w:p>
    <w:p>
      <w:r>
        <w:rPr>
          <w:b/>
          <w:sz w:val="19"/>
        </w:rPr>
        <w:t xml:space="preserve">Übertragbarkeit: </w:t>
      </w:r>
      <w:r>
        <w:rPr>
          <w:sz w:val="19"/>
        </w:rPr>
        <w:t>Griechenland, europäisches Gesundheitssystem, vergleichbare Impfprogramme</w:t>
      </w:r>
    </w:p>
    <w:p>
      <w:r>
        <w:rPr>
          <w:color w:val="5A7D3A"/>
          <w:sz w:val="18"/>
        </w:rPr>
        <w:t>https://pubmed.ncbi.nlm.nih.gov/42774463/</w:t>
      </w:r>
    </w:p>
    <w:p>
      <w:pPr>
        <w:pStyle w:val="Heading2"/>
      </w:pPr>
      <w:r>
        <w:t>Tdap-Sicherheit im VAERS-Register: Radiculitis bei Frauen erhöht, aber Schwangerschaft und Alter unbedenklich</w:t>
      </w:r>
    </w:p>
    <w:p>
      <w:r>
        <w:rPr>
          <w:i/>
          <w:color w:val="666666"/>
          <w:sz w:val="18"/>
        </w:rPr>
        <w:t>Song W et al.  ·  Front Cell Infect Microbiol  ·  08.09.2026  ·  PMID 42774241</w:t>
      </w:r>
    </w:p>
    <w:p>
      <w:r>
        <w:t>Post-Marketing-Surveillance von 20.128 VAERS-Meldungen zu Tdap (2015–2025) mit Disproportionalitätsanalyse nach Alter, Geschlecht und Schwangerschaftsstatus.</w:t>
      </w:r>
    </w:p>
    <w:p>
      <w:r>
        <w:rPr>
          <w:b/>
        </w:rPr>
        <w:t xml:space="preserve">Ergebnis: </w:t>
      </w:r>
      <w:r>
        <w:t>95,8% nicht-schwerwiegende Fälle; häufigste Signale: Injektionsstelle Erythem und Ödem; 70,3% Ereignisse innerhalb 1 Tag; bei Schwangeren (n=744): keine unerwarteten Sicherheitssignale; Adoleszenten: Opisthotonus erhöht (ROR=8,55); nicht-schwangere Frauen: Brachialradiculitis (ROR=14,42) und Bursa-Flüssigkeitsansammlung (ROR=21,22) erhöht.</w:t>
      </w:r>
    </w:p>
    <w:p>
      <w:r>
        <w:rPr>
          <w:b/>
          <w:sz w:val="19"/>
        </w:rPr>
        <w:t xml:space="preserve">Übertragbarkeit: </w:t>
      </w:r>
      <w:r>
        <w:rPr>
          <w:sz w:val="19"/>
        </w:rPr>
        <w:t>USA-VAERS-Daten, aber Pharmakovigilanz-Methode international verwendbar</w:t>
      </w:r>
    </w:p>
    <w:p>
      <w:r>
        <w:rPr>
          <w:color w:val="5A7D3A"/>
          <w:sz w:val="18"/>
        </w:rPr>
        <w:t>https://pubmed.ncbi.nlm.nih.gov/42774241/</w:t>
      </w:r>
    </w:p>
    <w:p>
      <w:pPr>
        <w:pStyle w:val="Heading2"/>
      </w:pPr>
      <w:r>
        <w:t>HPV16/18-Antikörper-Überwachung: Neutralisierungstest, cCLIA und IgG im Vergleich für Impfquoten-Monitoring</w:t>
      </w:r>
    </w:p>
    <w:p>
      <w:r>
        <w:rPr>
          <w:i/>
          <w:color w:val="666666"/>
          <w:sz w:val="18"/>
        </w:rPr>
        <w:t>Mao W et al.  ·  Front Immunol  ·  08.09.2026  ·  PMID 42774225</w:t>
      </w:r>
    </w:p>
    <w:p>
      <w:r>
        <w:t>Querschnitt- und Längsschnittstudie mit vollständig Geimpften und Ungeimpften verglich drei serologische Assays (Pseudovirionen-Neutralisierung, kompetitiver Chemilumineszenz-Immunoassay, indirekte IgG) für HPV16/18-Antikörper-Nachweis nach Vakzination.</w:t>
      </w:r>
    </w:p>
    <w:p>
      <w:r>
        <w:rPr>
          <w:b/>
        </w:rPr>
        <w:t xml:space="preserve">Ergebnis: </w:t>
      </w:r>
      <w:r>
        <w:t>Alle drei Assays reflektierten Impfantwort-Trends; cCLIA stabiler gegenüber Neutralisierungstest als IgG-Assay, besonders longitudinal und nach 2. Dosis; IgG zeigte niedrigere Stabilität für funktionale Klassifikation, aber konsistente Erfassung von Bevölkerungs-Reaktionen; persistente numerische Unterschiede bedeuten Assays nicht direkt austauschbar.</w:t>
      </w:r>
    </w:p>
    <w:p>
      <w:r>
        <w:rPr>
          <w:b/>
          <w:sz w:val="19"/>
        </w:rPr>
        <w:t xml:space="preserve">Übertragbarkeit: </w:t>
      </w:r>
      <w:r>
        <w:rPr>
          <w:sz w:val="19"/>
        </w:rPr>
        <w:t>China, aber Assay-Vergleich für HPV-Monitoring-Strategien europaweit relevant</w:t>
      </w:r>
    </w:p>
    <w:p>
      <w:r>
        <w:rPr>
          <w:color w:val="5A7D3A"/>
          <w:sz w:val="18"/>
        </w:rPr>
        <w:t>https://pubmed.ncbi.nlm.nih.gov/42774225/</w:t>
      </w:r>
    </w:p>
    <w:p>
      <w:pPr>
        <w:pStyle w:val="Heading2"/>
      </w:pPr>
      <w:r>
        <w:t>Hochdosis-Grippeimpfstoff für gebrechliche Ältere – Effektivität variiert nach Frailty-Risiko</w:t>
      </w:r>
    </w:p>
    <w:p>
      <w:r>
        <w:rPr>
          <w:i/>
          <w:color w:val="666666"/>
          <w:sz w:val="18"/>
        </w:rPr>
        <w:t>Espersen C et al.  ·  Lancet Healthy Longev  ·  17.09.2026  ·  PMID 42753782</w:t>
      </w:r>
    </w:p>
    <w:p>
      <w:r>
        <w:t>Prespecified Analyse der DANFLU-2-Studie mit 332.438 Personen ≥65 Jahren aus Dänemark verglich Hochdosis- vs. Standarddosis-Influenzavakzin nach Gebrechlichkeitsrisiko bezüglich Hospitalisierungen.</w:t>
      </w:r>
    </w:p>
    <w:p>
      <w:r>
        <w:rPr>
          <w:b/>
        </w:rPr>
        <w:t xml:space="preserve">Ergebnis: </w:t>
      </w:r>
      <w:r>
        <w:t>Bei niedriger Gebrechlichkeit: relative Vakzin-Effektivität (HD vs. SD) 0,2% (95% KI −10,8–10,2); bei mittlerer: 13,1% (−0,4–24,8); bei hoher: 19,9% (−10,3–42,1). Höhere Effektivitätsgewinne mit steigendem Gebrechlichkeitsrisiko, aber 95%-KIs überschreiten Null; Effekt-Modifikation nicht signifikant in vorgegebenen Kategorien.</w:t>
      </w:r>
    </w:p>
    <w:p>
      <w:r>
        <w:rPr>
          <w:b/>
          <w:sz w:val="19"/>
        </w:rPr>
        <w:t xml:space="preserve">Übertragbarkeit: </w:t>
      </w:r>
      <w:r>
        <w:rPr>
          <w:sz w:val="19"/>
        </w:rPr>
        <w:t>Dänemark, vergleichbares skandinavisches System mit Register und Krankenhausdaten</w:t>
      </w:r>
    </w:p>
    <w:p>
      <w:r>
        <w:rPr>
          <w:color w:val="5A7D3A"/>
          <w:sz w:val="18"/>
        </w:rPr>
        <w:t>https://pubmed.ncbi.nlm.nih.gov/42753782/</w:t>
      </w:r>
    </w:p>
    <w:p>
      <w:pPr>
        <w:pStyle w:val="Heading2"/>
      </w:pPr>
      <w:r>
        <w:t>Langzeitkomplikationen nach CAR-T-Zelltherapie: Infektionen und Sekundärmalignome überwiegen</w:t>
      </w:r>
    </w:p>
    <w:p>
      <w:r>
        <w:rPr>
          <w:i/>
          <w:color w:val="666666"/>
          <w:sz w:val="18"/>
        </w:rPr>
        <w:t>Eisenmann M et al.  ·  Curr Oncol  ·  01.08.2026  ·  PMID 42645366</w:t>
      </w:r>
    </w:p>
    <w:p>
      <w:r>
        <w:t>Scoping Review von 18 Primärstudien (2018 an) zu späten Nebenwirkungen (≥12 Monate nach Infusion) bei Patienten mit EMA-zugelassenen CAR-T-Produkten.</w:t>
      </w:r>
    </w:p>
    <w:p>
      <w:r>
        <w:rPr>
          <w:b/>
        </w:rPr>
        <w:t xml:space="preserve">Ergebnis: </w:t>
      </w:r>
      <w:r>
        <w:t>Spätkomplikationen konzentrierten sich auf Infektionen und Sekundärmalignome; Nicht-Rückfall-Mortalität in 7 Studien berichtet, Infektionen und Sekundärmalignome häufig als Todesursachen genannt; systematische Übersichtsarbeit ohne neue Ziffern, aber klare Kategorisierung der Evidenz.</w:t>
      </w:r>
    </w:p>
    <w:p>
      <w:r>
        <w:rPr>
          <w:b/>
          <w:sz w:val="19"/>
        </w:rPr>
        <w:t xml:space="preserve">Übertragbarkeit: </w:t>
      </w:r>
      <w:r>
        <w:rPr>
          <w:sz w:val="19"/>
        </w:rPr>
        <w:t>Europa, EMA-Daten, aber Übersicht ohne neue empirische Effekte – nur für Systemwissen</w:t>
      </w:r>
    </w:p>
    <w:p>
      <w:r>
        <w:rPr>
          <w:color w:val="5A7D3A"/>
          <w:sz w:val="18"/>
        </w:rPr>
        <w:t>https://pubmed.ncbi.nlm.nih.gov/42645366/</w:t>
      </w:r>
    </w:p>
    <w:p>
      <w:pPr>
        <w:pStyle w:val="Heading1"/>
      </w:pPr>
      <w:r>
        <w:t>Aufgenommen am 23.09.2026</w:t>
      </w:r>
    </w:p>
    <w:p>
      <w:pPr>
        <w:pStyle w:val="Heading2"/>
      </w:pPr>
      <w:r>
        <w:t>Impfkettenmanagement in koreanischen Gesundheitseinrichtungen: Defizite bei Temperaturüberwachung und Notstrom</w:t>
      </w:r>
    </w:p>
    <w:p>
      <w:r>
        <w:rPr>
          <w:i/>
          <w:color w:val="666666"/>
          <w:sz w:val="18"/>
        </w:rPr>
        <w:t>Kang CR et al.  ·  J Korean Med Sci  ·  21.09.2026  ·  PMID 42773072</w:t>
      </w:r>
    </w:p>
    <w:p>
      <w:r>
        <w:t>Nationale Querschnittserhebung zur Evaluierung der Impfkühllager-Praktiken in 53 südkoreanischen Immunisierungsanbietern (43 private Einrichtungen, 10 öffentliche Gesundheitszentren).</w:t>
      </w:r>
    </w:p>
    <w:p>
      <w:r>
        <w:rPr>
          <w:b/>
        </w:rPr>
        <w:t xml:space="preserve">Ergebnis: </w:t>
      </w:r>
      <w:r>
        <w:t>Alle Einrichtungen hatten dedizierte Impfkühlschränke (100 %), aber nur 73,6 % kontinuierliche Temperaturüberwachung auf allen Geräten; Alarmsysteme in 83,0 %; Notfallpläne in 52,8 %, regelmäßig getestet nur 40,9 %. Dokumentation und Entsorgung erfolgten regelkonform, aber Infrastruktur-Sicherheit ist lückenhaft.</w:t>
      </w:r>
    </w:p>
    <w:p>
      <w:r>
        <w:rPr>
          <w:b/>
          <w:sz w:val="19"/>
        </w:rPr>
        <w:t xml:space="preserve">Übertragbarkeit: </w:t>
      </w:r>
      <w:r>
        <w:rPr>
          <w:sz w:val="19"/>
        </w:rPr>
        <w:t>Südkorea, vergleichbare Infrastruktur-Herausforderungen, nicht direktes Deutschland-Modell</w:t>
      </w:r>
    </w:p>
    <w:p>
      <w:r>
        <w:rPr>
          <w:color w:val="5A7D3A"/>
          <w:sz w:val="18"/>
        </w:rPr>
        <w:t>https://pubmed.ncbi.nlm.nih.gov/42773072/</w:t>
      </w:r>
    </w:p>
    <w:p>
      <w:pPr>
        <w:pStyle w:val="Heading2"/>
      </w:pPr>
      <w:r>
        <w:t>COVID-19-Impfeffektivität: Test-negativ vs. Kohortenstudien liefern vergleichbare Ergebnisse</w:t>
      </w:r>
    </w:p>
    <w:p>
      <w:r>
        <w:rPr>
          <w:i/>
          <w:color w:val="666666"/>
          <w:sz w:val="18"/>
        </w:rPr>
        <w:t>Sukik L et al.  ·  Int J Epidemiol  ·  18.08.2026  ·  PMID 42772774</w:t>
      </w:r>
    </w:p>
    <w:p>
      <w:r>
        <w:t>Direkter Methodenvergleich: Test-negativ-Fall-Kontroll- vs. retrospektive Kohortenstudien zur COVID-19-Impfeffektivität in Katar mit identischer Population und Datenquelle.</w:t>
      </w:r>
    </w:p>
    <w:p>
      <w:r>
        <w:rPr>
          <w:b/>
        </w:rPr>
        <w:t xml:space="preserve">Ergebnis: </w:t>
      </w:r>
      <w:r>
        <w:t>BNT162b2-Effektivität gegen Infektion im Test-negativ-Design 71,0 % vs. Kohorten-Design 78,0 % (nach Korrektur für Testrate); gegen schwere COVID-19 96,3 % vs. 98,0 %. Beide Designs zeigten ähnliche Wirksamkeitsverluste. Methodische Unterschiede sind kleiner als erwartet.</w:t>
      </w:r>
    </w:p>
    <w:p>
      <w:r>
        <w:rPr>
          <w:b/>
          <w:sz w:val="19"/>
        </w:rPr>
        <w:t xml:space="preserve">Übertragbarkeit: </w:t>
      </w:r>
      <w:r>
        <w:rPr>
          <w:sz w:val="19"/>
        </w:rPr>
        <w:t>Katar (nicht Deutschland), aber Methodenvergleich für alle Impfstoff-Studien übertragbar</w:t>
      </w:r>
    </w:p>
    <w:p>
      <w:r>
        <w:rPr>
          <w:color w:val="5A7D3A"/>
          <w:sz w:val="18"/>
        </w:rPr>
        <w:t>https://pubmed.ncbi.nlm.nih.gov/42772774/</w:t>
      </w:r>
    </w:p>
    <w:p>
      <w:pPr>
        <w:pStyle w:val="Heading2"/>
      </w:pPr>
      <w:r>
        <w:t>WHO-Einfachdosis-Empfehlung für HPV-Impfung erhöhte Ländereinführungen um 22 weitere Länder</w:t>
      </w:r>
    </w:p>
    <w:p>
      <w:r>
        <w:rPr>
          <w:i/>
          <w:color w:val="666666"/>
          <w:sz w:val="18"/>
        </w:rPr>
        <w:t>Suh J et al.  ·  Expert Rev Vaccines  ·  22.09.2026  ·  PMID 42770688</w:t>
      </w:r>
    </w:p>
    <w:p>
      <w:r>
        <w:t>Analyse von Einflussfaktoren auf nationale HPV-Impfstoff-Einführungsraten in Ländern mit niedrigem und mittlerem Einkommen 2006–2025 mittels GLM und Changepoint-Analyse.</w:t>
      </w:r>
    </w:p>
    <w:p>
      <w:r>
        <w:rPr>
          <w:b/>
        </w:rPr>
        <w:t xml:space="preserve">Ergebnis: </w:t>
      </w:r>
      <w:r>
        <w:t>WHO-Einfachdosis-Empfehlung 2022 war der stärkste assoziierte Faktor; Gavi-Finanzierungserweiterung (2017–2025) auch bedeutsam. Modellprognosen: 22,46 zusätzliche nationale HPV-Impfstoff-Einführungen in LMIC allein durch die Einfachdosis-Empfehlung. Signifikanter Anstieg 2022.</w:t>
      </w:r>
    </w:p>
    <w:p>
      <w:r>
        <w:rPr>
          <w:b/>
          <w:sz w:val="19"/>
        </w:rPr>
        <w:t xml:space="preserve">Übertragbarkeit: </w:t>
      </w:r>
      <w:r>
        <w:rPr>
          <w:sz w:val="19"/>
        </w:rPr>
        <w:t>Globale Politikanalyse, zeigt Hebel für Impfprogramme weltweit, nicht Deutschland-spezifisch</w:t>
      </w:r>
    </w:p>
    <w:p>
      <w:r>
        <w:rPr>
          <w:color w:val="5A7D3A"/>
          <w:sz w:val="18"/>
        </w:rPr>
        <w:t>https://pubmed.ncbi.nlm.nih.gov/42770688/</w:t>
      </w:r>
    </w:p>
    <w:p>
      <w:pPr>
        <w:pStyle w:val="Heading2"/>
      </w:pPr>
      <w:r>
        <w:t>Impfablehnung in der Türkei: Eltern und Gesundheitspersonal berichten von Vertrauenskrise</w:t>
      </w:r>
    </w:p>
    <w:p>
      <w:r>
        <w:rPr>
          <w:i/>
          <w:color w:val="666666"/>
          <w:sz w:val="18"/>
        </w:rPr>
        <w:t>Sezer E et al.  ·  Front Public Health  ·  07.09.2026  ·  PMID 42769268</w:t>
      </w:r>
    </w:p>
    <w:p>
      <w:r>
        <w:t>Qualitative Studie mit 19 impfablehnenden Eltern und 21 Fachpersonen (Ärzte, Hebammen) zur Erkundung von Gründen und strukturellen Barrieren für Impfverweigerung in der Türkei 2017.</w:t>
      </w:r>
    </w:p>
    <w:p>
      <w:r>
        <w:rPr>
          <w:b/>
        </w:rPr>
        <w:t xml:space="preserve">Ergebnis: </w:t>
      </w:r>
      <w:r>
        <w:t>Vier zentrale ethische Spannungsfelder: (1) Lücke zwischen informierter Ablehnung und uninformierter Wahl durch Informationsasymmetrie; (2) Vertrauenskrise in Gesundheitsinstitutionen durch leistungsbasierte Bezahlung von Ärzten; (3) Konflikt zwischen religiöser und medizinischer Autorität; (4) angefochtene elterliche Autonomie in patriarchalen Strukturen. Leistungsbezahlte Ärzte dokumentieren lieber, als dass sie Gespräche führen.</w:t>
      </w:r>
    </w:p>
    <w:p>
      <w:r>
        <w:rPr>
          <w:b/>
          <w:sz w:val="19"/>
        </w:rPr>
        <w:t xml:space="preserve">Übertragbarkeit: </w:t>
      </w:r>
      <w:r>
        <w:rPr>
          <w:sz w:val="19"/>
        </w:rPr>
        <w:t>Türkei (LMIC), strukturelle Probleme aber in allen Systemen mit Leistungsvergütung relevant</w:t>
      </w:r>
    </w:p>
    <w:p>
      <w:r>
        <w:rPr>
          <w:color w:val="5A7D3A"/>
          <w:sz w:val="18"/>
        </w:rPr>
        <w:t>https://pubmed.ncbi.nlm.nih.gov/42769268/</w:t>
      </w:r>
    </w:p>
    <w:p>
      <w:pPr>
        <w:pStyle w:val="Heading2"/>
      </w:pPr>
      <w:r>
        <w:t>Adenovirus-Serotyp-Wechsel steigerte Ebola-Impfstoff-Immunantwort in Mäusen</w:t>
      </w:r>
    </w:p>
    <w:p>
      <w:r>
        <w:rPr>
          <w:i/>
          <w:color w:val="666666"/>
          <w:sz w:val="18"/>
        </w:rPr>
        <w:t>Wiggins J et al.  ·  J Med Virol  ·  Sept. 2026  ·  PMID 42765626</w:t>
      </w:r>
    </w:p>
    <w:p>
      <w:r>
        <w:t>Vergleichende Laborstu die mit verschiedenen Adenovirus-Vektoren und Immunisierungsrouten zur Optimierung der Ebolavirus-Glykoproteinin-Immunogenität.</w:t>
      </w:r>
    </w:p>
    <w:p>
      <w:r>
        <w:rPr>
          <w:b/>
        </w:rPr>
        <w:t xml:space="preserve">Ergebnis: </w:t>
      </w:r>
      <w:r>
        <w:t>Species-C-Vektoren (Ad5, Ad6) zeigten starke Antikörperreaktionen und schnelle Klassenumwandlung zu IgG im Vergleich zu Species B und D. Serotyp-Wechsel-Schemata erhöhten Antikörperniveaus und erzeugte robuste T-Zell-Reaktionen bei intramuskulärer Gabe. Intranasale Gabe induzierte nachweisbares IgA, aber keine messbaren T-Zell-Antworten – routenabhängige Immunkompartimentalisierung.</w:t>
      </w:r>
    </w:p>
    <w:p>
      <w:r>
        <w:rPr>
          <w:b/>
          <w:sz w:val="19"/>
        </w:rPr>
        <w:t xml:space="preserve">Übertragbarkeit: </w:t>
      </w:r>
      <w:r>
        <w:rPr>
          <w:sz w:val="19"/>
        </w:rPr>
        <w:t>Präklinische Mausstudien, Impfstoff-Entwicklungsphase, keine direkten Versorgungsdaten</w:t>
      </w:r>
    </w:p>
    <w:p>
      <w:r>
        <w:rPr>
          <w:color w:val="5A7D3A"/>
          <w:sz w:val="18"/>
        </w:rPr>
        <w:t>https://pubmed.ncbi.nlm.nih.gov/42765626/</w:t>
      </w:r>
    </w:p>
    <w:p>
      <w:pPr>
        <w:pStyle w:val="Heading2"/>
      </w:pPr>
      <w:r>
        <w:t>MMR-Impf-Anaphylaxie durch Schweineglatine: Fallbericht und praktische Empfehlungen</w:t>
      </w:r>
    </w:p>
    <w:p>
      <w:r>
        <w:rPr>
          <w:i/>
          <w:color w:val="666666"/>
          <w:sz w:val="18"/>
        </w:rPr>
        <w:t>Iordachescu M et al.  ·  Rev Med Liege  ·  Sept. 2026  ·  PMID 42751843</w:t>
      </w:r>
    </w:p>
    <w:p>
      <w:r>
        <w:t>Zwei pädiatrische Fallberichte von Anaphylaxie nach M-M-RVaxPro®-Impfung, zugeordnet der Schweineglatine (14,5 mg/Dosis) als Stabilisator.</w:t>
      </w:r>
    </w:p>
    <w:p>
      <w:r>
        <w:rPr>
          <w:b/>
        </w:rPr>
        <w:t xml:space="preserve">Ergebnis: </w:t>
      </w:r>
      <w:r>
        <w:t>Beide Patienten entwickelten schwere Reaktionen nach Auffrischung mit positiven Haut- und Bluttests für Gelatin; Allergien gegen Neomycin, Latex und Chlorhexidin ausgeschlossen. Empfehlungen: Vermeidung gelatinehaltiger Impfstoffe, Substitution mit gelatinefreien Alternativen (Priorix®), orale Herausforderungsprobe für Lebensmitteltoleranz, Epinephrin-Notfallset, Spitalüberwachung bei Mastzellstörungen.</w:t>
      </w:r>
    </w:p>
    <w:p>
      <w:r>
        <w:rPr>
          <w:b/>
          <w:sz w:val="19"/>
        </w:rPr>
        <w:t xml:space="preserve">Übertragbarkeit: </w:t>
      </w:r>
      <w:r>
        <w:rPr>
          <w:sz w:val="19"/>
        </w:rPr>
        <w:t>Belgien, europäische Fallberichte, Sicherheitserkenntnis für alle Mastzell-Erkrankungen</w:t>
      </w:r>
    </w:p>
    <w:p>
      <w:r>
        <w:rPr>
          <w:color w:val="5A7D3A"/>
          <w:sz w:val="18"/>
        </w:rPr>
        <w:t>https://pubmed.ncbi.nlm.nih.gov/42751843/</w:t>
      </w:r>
    </w:p>
    <w:p>
      <w:pPr>
        <w:pStyle w:val="Heading2"/>
      </w:pPr>
      <w:r>
        <w:t>RSV-Impfstoff verhinderte 70 % der Hospitalisierungen bei Erwachsenen</w:t>
      </w:r>
    </w:p>
    <w:p>
      <w:r>
        <w:rPr>
          <w:i/>
          <w:color w:val="666666"/>
          <w:sz w:val="18"/>
        </w:rPr>
        <w:t>Lassen MCH et al.  ·  NEJM Evid  ·  29.08.2026  ·  PMID 42666095</w:t>
      </w:r>
    </w:p>
    <w:p>
      <w:r>
        <w:t>Pragmatische randomisierte Studie zum Schutz der bivalenten RSV-Präfusion-F-Impfung vor RSV-Hospitalisierung in Dänemark und Spanien.</w:t>
      </w:r>
    </w:p>
    <w:p>
      <w:r>
        <w:rPr>
          <w:b/>
        </w:rPr>
        <w:t xml:space="preserve">Ergebnis: </w:t>
      </w:r>
      <w:r>
        <w:t>Von 513.358 randomisierten Teilnehmern lag die Impfeffektivität gegen RSV-Atemwegserkrankungen-Hospitalisierung bei 70,3 % (95 %-KI 49,7–83,2), gegen untere Atemwege bei 71,1 % (45,4–85,7). Schwere Nebenwirkungen traten in 2,0 % der Impfgruppe vs. 2,2 % der Kontrollgruppe auf – ein wirksamer und sicherer Impfstoff unter Alltagsbedingungen.</w:t>
      </w:r>
    </w:p>
    <w:p>
      <w:r>
        <w:rPr>
          <w:b/>
          <w:sz w:val="19"/>
        </w:rPr>
        <w:t xml:space="preserve">Übertragbarkeit: </w:t>
      </w:r>
      <w:r>
        <w:rPr>
          <w:sz w:val="19"/>
        </w:rPr>
        <w:t>Dänemark/Spanien, nationale Versicherungsdaten und Routineüberwachung, nicht USA-abhängig</w:t>
      </w:r>
    </w:p>
    <w:p>
      <w:r>
        <w:rPr>
          <w:color w:val="5A7D3A"/>
          <w:sz w:val="18"/>
        </w:rPr>
        <w:t>https://pubmed.ncbi.nlm.nih.gov/42666095/</w:t>
      </w:r>
    </w:p>
    <w:p>
      <w:pPr>
        <w:pStyle w:val="Heading1"/>
      </w:pPr>
      <w:r>
        <w:t>Aufgenommen am 22.09.2026</w:t>
      </w:r>
    </w:p>
    <w:p>
      <w:pPr>
        <w:pStyle w:val="Heading2"/>
      </w:pPr>
      <w:r>
        <w:t>Impfbelastung bei Kindern senken: Leitlinie 2026 zu Schmerz und Angst</w:t>
      </w:r>
    </w:p>
    <w:p>
      <w:r>
        <w:rPr>
          <w:i/>
          <w:color w:val="666666"/>
          <w:sz w:val="18"/>
        </w:rPr>
        <w:t>Taddio A et al.  ·  CMAJ  ·  20.09.2026  ·  PMID 42767684</w:t>
      </w:r>
    </w:p>
    <w:p>
      <w:r>
        <w:t>Systematische Übersichtsarbeiten zu 16 evidenzgestützten Empfehlungen gegen Impfangst und Schmerzen in fünf Domänen (Prozess, Technik, Körperlage, Medikament, Psychologie).</w:t>
      </w:r>
    </w:p>
    <w:p>
      <w:r>
        <w:rPr>
          <w:b/>
        </w:rPr>
        <w:t xml:space="preserve">Ergebnis: </w:t>
      </w:r>
      <w:r>
        <w:t>7 starke Empfehlungen mit moderater bis hoher Evidenz (z. B. mehrkomponentige Prozessinterventionen, orale Ernährung für Säuglinge); 9 bedingte Empfehlungen bei niedriger Evidenz. Empfehlungen zielgruppenspezifisch für Fachpersonen, Impflinge und Angehörige.</w:t>
      </w:r>
    </w:p>
    <w:p>
      <w:r>
        <w:rPr>
          <w:b/>
          <w:sz w:val="19"/>
        </w:rPr>
        <w:t xml:space="preserve">Übertragbarkeit: </w:t>
      </w:r>
      <w:r>
        <w:rPr>
          <w:sz w:val="19"/>
        </w:rPr>
        <w:t>Kanada, GRADE-Methodik, Impfpraxis in Hocheinkommensländern.</w:t>
      </w:r>
    </w:p>
    <w:p>
      <w:r>
        <w:rPr>
          <w:color w:val="5A7D3A"/>
          <w:sz w:val="18"/>
        </w:rPr>
        <w:t>https://pubmed.ncbi.nlm.nih.gov/42767684/</w:t>
      </w:r>
    </w:p>
    <w:p>
      <w:pPr>
        <w:pStyle w:val="Heading2"/>
      </w:pPr>
      <w:r>
        <w:t>HPV-Impfbereitschaft bei Frauen in Sierra Leone: hohe Akzeptanz trotz Wissenslücken</w:t>
      </w:r>
    </w:p>
    <w:p>
      <w:r>
        <w:rPr>
          <w:i/>
          <w:color w:val="666666"/>
          <w:sz w:val="18"/>
        </w:rPr>
        <w:t>Everman S et al.  ·  J Health Care Poor Underserved  ·  2026  ·  PMID 42766516</w:t>
      </w:r>
    </w:p>
    <w:p>
      <w:r>
        <w:t>Querschnittsstudie zur Akzeptanz der HPV-Impfung bei 189 Frauen in ländlichen und städtischen Gegenden Sierra Leones, untersucht Wissen über Gebärmutterhalskrebs und Impfverhalten.</w:t>
      </w:r>
    </w:p>
    <w:p>
      <w:r>
        <w:rPr>
          <w:b/>
        </w:rPr>
        <w:t xml:space="preserve">Ergebnis: </w:t>
      </w:r>
      <w:r>
        <w:t>Geringe Awareness für Gebärmutterhalskrebs und HPV-Impfung. Breite Willingness zur Impfung. Statistisch signifikante positive Assoziation zwischen formaler Bildung und Impfbereitschaft (p &lt; 0,01). Starke Präferenz für Schulmedizin.</w:t>
      </w:r>
    </w:p>
    <w:p>
      <w:r>
        <w:rPr>
          <w:b/>
          <w:sz w:val="19"/>
        </w:rPr>
        <w:t xml:space="preserve">Übertragbarkeit: </w:t>
      </w:r>
      <w:r>
        <w:rPr>
          <w:sz w:val="19"/>
        </w:rPr>
        <w:t>Wenig entwickelte Region, Impfakzeptanz ist Ausgangspunkt für Programmentwicklung.</w:t>
      </w:r>
    </w:p>
    <w:p>
      <w:r>
        <w:rPr>
          <w:color w:val="5A7D3A"/>
          <w:sz w:val="18"/>
        </w:rPr>
        <w:t>https://pubmed.ncbi.nlm.nih.gov/42766516/</w:t>
      </w:r>
    </w:p>
    <w:p>
      <w:pPr>
        <w:pStyle w:val="Heading2"/>
      </w:pPr>
      <w:r>
        <w:t>Saisonimpfung vor A(H5)-Impfung: marginal additivem Nutzen gegen pandemisches H5N1-Risiko</w:t>
      </w:r>
    </w:p>
    <w:p>
      <w:r>
        <w:rPr>
          <w:i/>
          <w:color w:val="666666"/>
          <w:sz w:val="18"/>
        </w:rPr>
        <w:t>Hatta M et al.  ·  Emerg Microbes Infect  ·  21.09.2026  ·  PMID 42765371</w:t>
      </w:r>
    </w:p>
    <w:p>
      <w:r>
        <w:t>Maus- und Frettchen-Modellstudie mit pandemischen H5N1-Viren (Klade 2.3.4.4b) zur Frage, ob saisonale Influenza-Impfung vor A(H5)-Impfung die Schutzwirkung verbessert.</w:t>
      </w:r>
    </w:p>
    <w:p>
      <w:r>
        <w:rPr>
          <w:b/>
        </w:rPr>
        <w:t xml:space="preserve">Ergebnis: </w:t>
      </w:r>
      <w:r>
        <w:t>Saisonale Impfung induzierte keine Antikörper gegen A(H5). Saisonale Impfung vor A(H5)-Impfung war in 1 von 3 Maus-Experimenten mit besseren Outcomes assoziiert, nicht aber in den anderen 2 Maus-Experimenten oder bei Frettchen. Begrenzte additive Vorteile.</w:t>
      </w:r>
    </w:p>
    <w:p>
      <w:r>
        <w:rPr>
          <w:b/>
          <w:sz w:val="19"/>
        </w:rPr>
        <w:t xml:space="preserve">Übertragbarkeit: </w:t>
      </w:r>
      <w:r>
        <w:rPr>
          <w:sz w:val="19"/>
        </w:rPr>
        <w:t>Präklinische Modelle, Pandemiebereitscha Deutschland für Ressourcenpriorisierung.</w:t>
      </w:r>
    </w:p>
    <w:p>
      <w:r>
        <w:rPr>
          <w:color w:val="5A7D3A"/>
          <w:sz w:val="18"/>
        </w:rPr>
        <w:t>https://pubmed.ncbi.nlm.nih.gov/42765371/</w:t>
      </w:r>
    </w:p>
    <w:p>
      <w:pPr>
        <w:pStyle w:val="Heading2"/>
      </w:pPr>
      <w:r>
        <w:t>Influenza- und Pneumokokken-Impfungen in Südafrika 2017–2021: COVID-19 beeinflusste Versorgungsmuster</w:t>
      </w:r>
    </w:p>
    <w:p>
      <w:r>
        <w:rPr>
          <w:i/>
          <w:color w:val="666666"/>
          <w:sz w:val="18"/>
        </w:rPr>
        <w:t>Truter I et al.  ·  Pharmacoepidemiol Drug Saf  ·  Okt. 2026  ·  PMID 42764173</w:t>
      </w:r>
    </w:p>
    <w:p>
      <w:r>
        <w:t>Longitudinale pharmakoepidemiologische Studie zu Abgabemengen von Influenza- und Pneumokokken-Impfstoffen in privaten Krankenversicherungsdaten Südafrikas (3,8 Mio. Versicherte).</w:t>
      </w:r>
    </w:p>
    <w:p>
      <w:r>
        <w:rPr>
          <w:b/>
        </w:rPr>
        <w:t xml:space="preserve">Ergebnis: </w:t>
      </w:r>
      <w:r>
        <w:t>Jährliche Abgabemuster unterschieden sich signifikant (p &lt; 0,01), Influenza-Impfung hauptsächlich März–Juni. Post-COVID-19 (2020–2021): signifikant mehr Influenza-Impfungen März–Juni (p &lt; 0,01), leichte Zunahme Pneumokokken-Impfungen (p &lt; 0,05). COVID-19-Impfung hatte insgesamt keinen signifikanten Effekt auf die Muster.</w:t>
      </w:r>
    </w:p>
    <w:p>
      <w:r>
        <w:rPr>
          <w:b/>
          <w:sz w:val="19"/>
        </w:rPr>
        <w:t xml:space="preserve">Übertragbarkeit: </w:t>
      </w:r>
      <w:r>
        <w:rPr>
          <w:sz w:val="19"/>
        </w:rPr>
        <w:t>Südafrika, Versicherungsdaten, Versorgungsrealität im Privatsektor.</w:t>
      </w:r>
    </w:p>
    <w:p>
      <w:r>
        <w:rPr>
          <w:color w:val="5A7D3A"/>
          <w:sz w:val="18"/>
        </w:rPr>
        <w:t>https://pubmed.ncbi.nlm.nih.gov/42764173/</w:t>
      </w:r>
    </w:p>
    <w:p>
      <w:pPr>
        <w:pStyle w:val="Heading2"/>
      </w:pPr>
      <w:r>
        <w:t>Influenza-Impfeffektivität bei Kindern in der Primärversorgung: 79 % Schutz vor laborbestätigter Erkrankung</w:t>
      </w:r>
    </w:p>
    <w:p>
      <w:r>
        <w:rPr>
          <w:i/>
          <w:color w:val="666666"/>
          <w:sz w:val="18"/>
        </w:rPr>
        <w:t>Barretta M et al.  ·  Clin Microbiol Infect  ·  11.07.2026  ·  PMID 42435855</w:t>
      </w:r>
    </w:p>
    <w:p>
      <w:r>
        <w:t>Multizenterstudie unter italienischen Kinderärzten zur Influenza-Impfeffektivität in der ambulanten Versorgung während der Saison 2024/2025.</w:t>
      </w:r>
    </w:p>
    <w:p>
      <w:r>
        <w:rPr>
          <w:b/>
        </w:rPr>
        <w:t xml:space="preserve">Ergebnis: </w:t>
      </w:r>
      <w:r>
        <w:t>79 % Reduktion von laborbestätigter Influenza bei geimpften vs. ungeimpften Kindern (95%-KI: 70–86 %). Kohorten-Analyse zeigte 76 % VE (95%-KI: 67–82 %). Effektivität konsistent für unterschiedliche Impfstofftypen und Testmethoden. Kein Schutz vor nicht-influenzabedingten Atemwegsinfekten.</w:t>
      </w:r>
    </w:p>
    <w:p>
      <w:r>
        <w:rPr>
          <w:b/>
          <w:sz w:val="19"/>
        </w:rPr>
        <w:t xml:space="preserve">Übertragbarkeit: </w:t>
      </w:r>
      <w:r>
        <w:rPr>
          <w:sz w:val="19"/>
        </w:rPr>
        <w:t>Italien, vergleichbare pädiatrische Versorgungsstrukturen, Praxisdaten.</w:t>
      </w:r>
    </w:p>
    <w:p>
      <w:r>
        <w:rPr>
          <w:color w:val="5A7D3A"/>
          <w:sz w:val="18"/>
        </w:rPr>
        <w:t>https://pubmed.ncbi.nlm.nih.gov/42435855/</w:t>
      </w:r>
    </w:p>
    <w:p>
      <w:pPr>
        <w:pStyle w:val="Heading1"/>
      </w:pPr>
      <w:r>
        <w:t>Aufgenommen am 21.09.2026</w:t>
      </w:r>
    </w:p>
    <w:p>
      <w:pPr>
        <w:pStyle w:val="Heading2"/>
      </w:pPr>
      <w:r>
        <w:t>Impfstoffsicherheit: Meningokokken-B und Routineimpfungen bei Säuglingen</w:t>
      </w:r>
    </w:p>
    <w:p>
      <w:r>
        <w:rPr>
          <w:i/>
          <w:color w:val="666666"/>
          <w:sz w:val="18"/>
        </w:rPr>
        <w:t>Nguyen T et al.  ·  Med J Aust  ·  Sept. 2026  ·  PMID 42764145</w:t>
      </w:r>
    </w:p>
    <w:p>
      <w:r>
        <w:t>Die Studie vergleicht Sicherheit und Reaktionen bei gleichzeitiger oder separater Verabreichung von Meningokokken-B-Impfstoff mit anderen Säuglingsimpfungen an 2-, 4-, 6- und 12 Monaten.</w:t>
      </w:r>
    </w:p>
    <w:p>
      <w:r>
        <w:rPr>
          <w:b/>
        </w:rPr>
        <w:t xml:space="preserve">Ergebnis: </w:t>
      </w:r>
      <w:r>
        <w:t>Bei 10.959 Säuglingen war die kumulative Rate unerwünschter Ereignisse nach gleichzeitiger Gabe bei 2 Monaten niedriger (29 % vs. 35 %, Risikodifferenz −6,7 %), bei 4, 6 und 12 Monaten vergleichbar. Ärztliche Konsultationen waren bei 12 Monaten unter gleichzeitiger Gabe seltener (4,1 % vs. 6,3 %). Separate Verabreichung reduziert nicht, kann aber die Reaktionslast erhöhen.</w:t>
      </w:r>
    </w:p>
    <w:p>
      <w:r>
        <w:rPr>
          <w:b/>
          <w:sz w:val="19"/>
        </w:rPr>
        <w:t xml:space="preserve">Übertragbarkeit: </w:t>
      </w:r>
      <w:r>
        <w:rPr>
          <w:sz w:val="19"/>
        </w:rPr>
        <w:t>Australien, vergleichbare Surveillance-Methodik über Online-Befragung anwendbar</w:t>
      </w:r>
    </w:p>
    <w:p>
      <w:r>
        <w:rPr>
          <w:color w:val="5A7D3A"/>
          <w:sz w:val="18"/>
        </w:rPr>
        <w:t>https://pubmed.ncbi.nlm.nih.gov/42764145/</w:t>
      </w:r>
    </w:p>
    <w:p>
      <w:pPr>
        <w:pStyle w:val="Heading2"/>
      </w:pPr>
      <w:r>
        <w:t>SARS-CoV-2 Langzeitschutz: MVA-Impfung erreicht mRNA-Niveau</w:t>
      </w:r>
    </w:p>
    <w:p>
      <w:r>
        <w:rPr>
          <w:i/>
          <w:color w:val="666666"/>
          <w:sz w:val="18"/>
        </w:rPr>
        <w:t>Pérez P et al.  ·  Front Immunol  ·  31.08.2026  ·  PMID 42741364</w:t>
      </w:r>
    </w:p>
    <w:p>
      <w:r>
        <w:t>Studie vergleicht Langzeitimmunität und Schutzwirkung nach homologer oder heterologer mRNA- und MVA-Impfung gegen XBB.1.5 in K18-hACE2-Mäusen über 9 Monate.</w:t>
      </w:r>
    </w:p>
    <w:p>
      <w:r>
        <w:rPr>
          <w:b/>
        </w:rPr>
        <w:t xml:space="preserve">Ergebnis: </w:t>
      </w:r>
      <w:r>
        <w:t>Alle Zwei-Dosen-Regimen reduzierten viral RNA und infektiöse Viruslast in oberen und unteren Atemwegen nach Challenge markant und vergleichbar. Bindungs-IgG blieb über 9 Monate hoch, neutralisierende Antikörper nahmen ab. mRNA/MVA-Heterologer Regimen zeigte Trend zu besserer CD8+-T-Zell-Persistenz. MVA als thermostabiler und kostengünstiger Kandidat bestätigt.</w:t>
      </w:r>
    </w:p>
    <w:p>
      <w:r>
        <w:rPr>
          <w:b/>
          <w:sz w:val="19"/>
        </w:rPr>
        <w:t xml:space="preserve">Übertragbarkeit: </w:t>
      </w:r>
      <w:r>
        <w:rPr>
          <w:sz w:val="19"/>
        </w:rPr>
        <w:t>Experimentell in Mäusen; Strategie für globale thermostabile Impfstoffversorgung relevant</w:t>
      </w:r>
    </w:p>
    <w:p>
      <w:r>
        <w:rPr>
          <w:color w:val="5A7D3A"/>
          <w:sz w:val="18"/>
        </w:rPr>
        <w:t>https://pubmed.ncbi.nlm.nih.gov/42741364/</w:t>
      </w:r>
    </w:p>
    <w:p>
      <w:pPr>
        <w:pStyle w:val="Heading2"/>
      </w:pPr>
      <w:r>
        <w:t>Digitale Impfdienste in Impfzentren: Strategien zur Effizienzsteigerung</w:t>
      </w:r>
    </w:p>
    <w:p>
      <w:r>
        <w:rPr>
          <w:i/>
          <w:color w:val="666666"/>
          <w:sz w:val="18"/>
        </w:rPr>
        <w:t>Song YF et al.  ·  Zhonghua Yu Fang Yi Xue Za Zhi  ·  06.09.2026  ·  PMID 42736157</w:t>
      </w:r>
    </w:p>
    <w:p>
      <w:r>
        <w:t>Chinesische Systemanalyse zu Strategien und Praktiken für digitale Services in Impfzentren, um Versorgungsqualität und Effizienz zu verbessern.</w:t>
      </w:r>
    </w:p>
    <w:p>
      <w:r>
        <w:rPr>
          <w:b/>
        </w:rPr>
        <w:t xml:space="preserve">Ergebnis: </w:t>
      </w:r>
      <w:r>
        <w:t>Artikel definiert digitale Impfdienste systematisch als Antwort auf steigende Impfstoffvielfalt, höhere Bevölkerungsmobilität und diversifizierte Impfbedarfe. Hauptkomponenten sind digitale Verwaltung, Planung und Patientenmanagement. Implementierungsempfehlungen zielen auf Verbesserung von Verwaltungseffizienz und Servicequalität.</w:t>
      </w:r>
    </w:p>
    <w:p>
      <w:r>
        <w:rPr>
          <w:b/>
          <w:sz w:val="19"/>
        </w:rPr>
        <w:t xml:space="preserve">Übertragbarkeit: </w:t>
      </w:r>
      <w:r>
        <w:rPr>
          <w:sz w:val="19"/>
        </w:rPr>
        <w:t>China; Systemansatz übertragbar auf Optimierung der Impflogistik in Gesundheitssystemen</w:t>
      </w:r>
    </w:p>
    <w:p>
      <w:r>
        <w:rPr>
          <w:color w:val="5A7D3A"/>
          <w:sz w:val="18"/>
        </w:rPr>
        <w:t>https://pubmed.ncbi.nlm.nih.gov/42736157/</w:t>
      </w:r>
    </w:p>
    <w:p>
      <w:pPr>
        <w:pStyle w:val="Heading2"/>
      </w:pPr>
      <w:r>
        <w:t>Dengue- und Chikungunya-Impfstoffe: Verfügbarkeit und Versorgungslücken</w:t>
      </w:r>
    </w:p>
    <w:p>
      <w:r>
        <w:rPr>
          <w:i/>
          <w:color w:val="666666"/>
          <w:sz w:val="18"/>
        </w:rPr>
        <w:t>Tee KK et al.  ·  Hum Vaccin Immunother  ·  10.09.2026  ·  PMID 42720969</w:t>
      </w:r>
    </w:p>
    <w:p>
      <w:r>
        <w:t>Analyse der Lücke zwischen Impfstoffverfügbarkeit nach regulativer Zulassung und tatsächlicher Aufnahme in nationale Impfprogramme in Ländern mit Übertragungsrisiko.</w:t>
      </w:r>
    </w:p>
    <w:p>
      <w:r>
        <w:rPr>
          <w:b/>
        </w:rPr>
        <w:t xml:space="preserve">Ergebnis: </w:t>
      </w:r>
      <w:r>
        <w:t>Dengue- und Chikungunya-Impfstoffe sind verfügbar, aber ihre Aufnahme in nationale Programme in vielen Hochrisiko-Ländern bleibt begrenzt oder ungleich verteilt. Die zentrale Herausforderung liegt nicht nur in der Verfügbarkeit, sondern in einem mehrschichtigen Zugangsdefizit: initiale Verfügbarkeit, anhaltende Bereitstellung und Anpassung an Übertragungsrisiko.</w:t>
      </w:r>
    </w:p>
    <w:p>
      <w:r>
        <w:rPr>
          <w:b/>
          <w:sz w:val="19"/>
        </w:rPr>
        <w:t xml:space="preserve">Übertragbarkeit: </w:t>
      </w:r>
      <w:r>
        <w:rPr>
          <w:sz w:val="19"/>
        </w:rPr>
        <w:t>Globale Perspektive; übertragbar auf Systemfähigkeit und Priorisierung in Gesundheitssystemen</w:t>
      </w:r>
    </w:p>
    <w:p>
      <w:r>
        <w:rPr>
          <w:color w:val="5A7D3A"/>
          <w:sz w:val="18"/>
        </w:rPr>
        <w:t>https://pubmed.ncbi.nlm.nih.gov/42720969/</w:t>
      </w:r>
    </w:p>
    <w:p>
      <w:pPr>
        <w:pStyle w:val="Heading2"/>
      </w:pPr>
      <w:r>
        <w:t>Impfstoff-Notfallreserven: Globales System entwickelt sich weiter</w:t>
      </w:r>
    </w:p>
    <w:p>
      <w:r>
        <w:rPr>
          <w:i/>
          <w:color w:val="666666"/>
          <w:sz w:val="18"/>
        </w:rPr>
        <w:t>Walldorf JA et al.  ·  Expert Rev Vaccines  ·  10.09.2026  ·  PMID 42717903</w:t>
      </w:r>
    </w:p>
    <w:p>
      <w:r>
        <w:t>Übersicht über die Entwicklung globaler Impfstoff-Stockpile-Strategien von 2014–2025 für Cholera, Gelbfieber, Polio, Meningokokken, COVID-19, Ebola und Mpox.</w:t>
      </w:r>
    </w:p>
    <w:p>
      <w:r>
        <w:rPr>
          <w:b/>
        </w:rPr>
        <w:t xml:space="preserve">Ergebnis: </w:t>
      </w:r>
      <w:r>
        <w:t>Globale Stockpile wurden für mehrere Impfstoffe etabliert. Die Strategie hat sich von reaktiv zu integriert entwickelt und verbindet Notfallreaktion mit Präventionsstrategie. Beschleunigte Impfstoffentwicklung erfordert effiziente und transparente Stockpile-Verwaltung für gerechte, bedarfsgerechte Verteilung.</w:t>
      </w:r>
    </w:p>
    <w:p>
      <w:r>
        <w:rPr>
          <w:b/>
          <w:sz w:val="19"/>
        </w:rPr>
        <w:t xml:space="preserve">Übertragbarkeit: </w:t>
      </w:r>
      <w:r>
        <w:rPr>
          <w:sz w:val="19"/>
        </w:rPr>
        <w:t>Governance und Versorgungslogistik; System betrifft Deutschland als Teilnehmer globaler Netzwerke</w:t>
      </w:r>
    </w:p>
    <w:p>
      <w:r>
        <w:rPr>
          <w:color w:val="5A7D3A"/>
          <w:sz w:val="18"/>
        </w:rPr>
        <w:t>https://pubmed.ncbi.nlm.nih.gov/42717903/</w:t>
      </w:r>
    </w:p>
    <w:p>
      <w:pPr>
        <w:pStyle w:val="Heading2"/>
      </w:pPr>
      <w:r>
        <w:t>BNT162b2-mRNA-Impfung: Plasmazytoide dendritische Zellen lenken Immunantwort</w:t>
      </w:r>
    </w:p>
    <w:p>
      <w:r>
        <w:rPr>
          <w:i/>
          <w:color w:val="666666"/>
          <w:sz w:val="18"/>
        </w:rPr>
        <w:t>Pizzichetti C et al.  ·  EBioMedicine  ·  21.08.2026  ·  PMID 42628376</w:t>
      </w:r>
    </w:p>
    <w:p>
      <w:r>
        <w:t>Vorklinische Mausstudie zur Rolle plasmatischer dendritischer Zellen (pDCs) bei humoralen und CD8+-T-Zell-Gedächtnisantworten nach BNT162b2-Impfung.</w:t>
      </w:r>
    </w:p>
    <w:p>
      <w:r>
        <w:rPr>
          <w:b/>
        </w:rPr>
        <w:t xml:space="preserve">Ergebnis: </w:t>
      </w:r>
      <w:r>
        <w:t>BNT162b2 wurde schnell zu drainierenden Lymphknoten transportiert, wo es hauptsächlich von Leukozyten aufgenommen wurde, die daraufhin Spike-Protein exprimierten. pDCs zeigten sich als Regulatoren entzündlicher und humoraler Immunantworten. Single-Cell-Transkriptomik offenbarte aktive Interaktionen zwischen pDCs und CD8+-T-Zellen; funktionelle Studien bestätigten, dass pDCs CD8+-T-Zell-Aktivierung und -Expansion fördern.</w:t>
      </w:r>
    </w:p>
    <w:p>
      <w:r>
        <w:rPr>
          <w:b/>
          <w:sz w:val="19"/>
        </w:rPr>
        <w:t xml:space="preserve">Übertragbarkeit: </w:t>
      </w:r>
      <w:r>
        <w:rPr>
          <w:sz w:val="19"/>
        </w:rPr>
        <w:t>Vorklinisch; Mechanismusverständnis der mRNA-Impfstoffwirksamkeit</w:t>
      </w:r>
    </w:p>
    <w:p>
      <w:r>
        <w:rPr>
          <w:color w:val="5A7D3A"/>
          <w:sz w:val="18"/>
        </w:rPr>
        <w:t>https://pubmed.ncbi.nlm.nih.gov/42628376/</w:t>
      </w:r>
    </w:p>
    <w:p>
      <w:pPr>
        <w:pStyle w:val="Heading1"/>
      </w:pPr>
      <w:r>
        <w:t>Aufgenommen am 20.09.2026</w:t>
      </w:r>
    </w:p>
    <w:p>
      <w:pPr>
        <w:pStyle w:val="Heading2"/>
      </w:pPr>
      <w:r>
        <w:t>COVID-19-Impfquote bei Lebertransplantierten: 84,9% mit stabiler psychosozialer Gesundheit</w:t>
      </w:r>
    </w:p>
    <w:p>
      <w:r>
        <w:rPr>
          <w:i/>
          <w:color w:val="666666"/>
          <w:sz w:val="18"/>
        </w:rPr>
        <w:t>Akbulut S et al.  ·  Front Public Health  ·  04.09.2026  ·  PMID 42761137</w:t>
      </w:r>
    </w:p>
    <w:p>
      <w:r>
        <w:t>Querschnittsstudie von 311 Lebertransplantierten in der Türkei zu Impfstatus, Impfakzeptanz, Hesitanz, Präventionsverhalten und psychosozialer Gesundheit.</w:t>
      </w:r>
    </w:p>
    <w:p>
      <w:r>
        <w:rPr>
          <w:b/>
        </w:rPr>
        <w:t xml:space="preserve">Ergebnis: </w:t>
      </w:r>
      <w:r>
        <w:t>84,9% Impfquote; Hauptgründe: Empfehlungen von Fachleuten (p=n.s.), wahrgenommene höhere Mortalität chronisch Kranker. Hesitanz wegen unzureichender Effektivitäts- und Sicherheitsdaten, Anti-Impf-Inhalte in sozialen Medien. Psychosoziales Wohlbefinden assoziiert mit Einkommen, Immunsuppression und Informationsquellen; Impfstatus nicht robust mit Risikoperzeption assoziiert.</w:t>
      </w:r>
    </w:p>
    <w:p>
      <w:r>
        <w:rPr>
          <w:b/>
          <w:sz w:val="19"/>
        </w:rPr>
        <w:t xml:space="preserve">Übertragbarkeit: </w:t>
      </w:r>
      <w:r>
        <w:rPr>
          <w:sz w:val="19"/>
        </w:rPr>
        <w:t>Türkei, aber Erkenntnisse zu Impfakzeptanz in Hochrisiko-Kohorten übertragbar</w:t>
      </w:r>
    </w:p>
    <w:p>
      <w:r>
        <w:rPr>
          <w:color w:val="5A7D3A"/>
          <w:sz w:val="18"/>
        </w:rPr>
        <w:t>https://pubmed.ncbi.nlm.nih.gov/42761137/</w:t>
      </w:r>
    </w:p>
    <w:p>
      <w:pPr>
        <w:pStyle w:val="Heading2"/>
      </w:pPr>
      <w:r>
        <w:t>HSV-1-Infektion nach Grippeimpfung: Kasuistik einer zeitlichen Assoziation</w:t>
      </w:r>
    </w:p>
    <w:p>
      <w:r>
        <w:rPr>
          <w:i/>
          <w:color w:val="666666"/>
          <w:sz w:val="18"/>
        </w:rPr>
        <w:t>Liu YH et al.  ·  Hum Vaccin Immunother  ·  18.09.2026  ·  PMID 42757534</w:t>
      </w:r>
    </w:p>
    <w:p>
      <w:r>
        <w:t>Fallbericht eines 28-Jährigen mit multifokaler HSV-1-Infektion sieben Tage nach Influenzaimpfung ohne bekannte Immunsuppression.</w:t>
      </w:r>
    </w:p>
    <w:p>
      <w:r>
        <w:rPr>
          <w:b/>
        </w:rPr>
        <w:t xml:space="preserve">Ergebnis: </w:t>
      </w:r>
      <w:r>
        <w:t>PCR bestätigte HSV-1-DNA in Läsionen; vollständige klinische Remission nach intravenösem Acyclovir. Kausalität kann nicht etabliert werden, zeitliche Nähe ist jedoch bemerkenswert; Differentialdiagnose sollte HSV-Infektionen nach Impfung einbeziehen, ohne Kausalität zu implizieren.</w:t>
      </w:r>
    </w:p>
    <w:p>
      <w:r>
        <w:rPr>
          <w:b/>
          <w:sz w:val="19"/>
        </w:rPr>
        <w:t xml:space="preserve">Übertragbarkeit: </w:t>
      </w:r>
      <w:r>
        <w:rPr>
          <w:sz w:val="19"/>
        </w:rPr>
        <w:t>Deutschland, klinische Einzelfallbeobachtung in Versorgungspraxis relevant</w:t>
      </w:r>
    </w:p>
    <w:p>
      <w:r>
        <w:rPr>
          <w:color w:val="5A7D3A"/>
          <w:sz w:val="18"/>
        </w:rPr>
        <w:t>https://pubmed.ncbi.nlm.nih.gov/42757534/</w:t>
      </w:r>
    </w:p>
    <w:p>
      <w:pPr>
        <w:pStyle w:val="Heading2"/>
      </w:pPr>
      <w:r>
        <w:t>Sabin-IPV in Erwachsenen: Sicherheitsprofil gleichwertig mit konventionellem Polio-Impfstoff</w:t>
      </w:r>
    </w:p>
    <w:p>
      <w:r>
        <w:rPr>
          <w:i/>
          <w:color w:val="666666"/>
          <w:sz w:val="18"/>
        </w:rPr>
        <w:t>Hussain M et al.  ·  Front Public Health  ·  03.09.2026  ·  PMID 42755970</w:t>
      </w:r>
    </w:p>
    <w:p>
      <w:r>
        <w:t>Systematische Übersicht und Meta-Analyse von vier RCTs (70–340 Teilnehmer) zum Vergleich der Sicherheit von Sabin-abgeleiteter inaktivierter Poliovirus-Impfung (sIPV) mit konventioneller IPV bei Erwachsenen als Auffrischung.</w:t>
      </w:r>
    </w:p>
    <w:p>
      <w:r>
        <w:rPr>
          <w:b/>
        </w:rPr>
        <w:t xml:space="preserve">Ergebnis: </w:t>
      </w:r>
      <w:r>
        <w:t>Kein statistisch signifikanter Unterschied in unerwünschten Ereignissen: Schmerz (RR 1,57; 95%-KI 0,98–2,50), Erythem (RR 1,54; 95%-KI 0,64–3,69), Fieber (RR 0,96; 95%-KI 0,39–2,33). Heterogenität I²=0%. Nebenwirkungen mild und transient, die meisten Studien berichteten keine ernstlichen unerwünschten Ereignisse. Evidenzsicherheit niedrig bis sehr niedrig wegen kleiner Stichproben.</w:t>
      </w:r>
    </w:p>
    <w:p>
      <w:r>
        <w:rPr>
          <w:b/>
          <w:sz w:val="19"/>
        </w:rPr>
        <w:t xml:space="preserve">Übertragbarkeit: </w:t>
      </w:r>
      <w:r>
        <w:rPr>
          <w:sz w:val="19"/>
        </w:rPr>
        <w:t>Evidenz aus RCTs, aber kleine Fallzahlen; sIPV-Zulassung in Deutschland prüfen</w:t>
      </w:r>
    </w:p>
    <w:p>
      <w:r>
        <w:rPr>
          <w:color w:val="5A7D3A"/>
          <w:sz w:val="18"/>
        </w:rPr>
        <w:t>https://pubmed.ncbi.nlm.nih.gov/42755970/</w:t>
      </w:r>
    </w:p>
    <w:p>
      <w:pPr>
        <w:pStyle w:val="Heading2"/>
      </w:pPr>
      <w:r>
        <w:t>mRNA-Impfung bei Post-COVID: Funktionelle Besserung unabhängig vom Impfstatus</w:t>
      </w:r>
    </w:p>
    <w:p>
      <w:r>
        <w:rPr>
          <w:i/>
          <w:color w:val="666666"/>
          <w:sz w:val="18"/>
        </w:rPr>
        <w:t>Pries P et al.  ·  Expert Rev Vaccines  ·  17.09.2026  ·  PMID 42755271</w:t>
      </w:r>
    </w:p>
    <w:p>
      <w:r>
        <w:t>Retrospektive Kohortenstudie zur Frage, ob mRNA-SARS-CoV-2-Impfungen bei Patienten mit Langzeit-COVID (PASC) Symptome verschlimmern oder die Genesung beeinträchtigen.</w:t>
      </w:r>
    </w:p>
    <w:p>
      <w:r>
        <w:rPr>
          <w:b/>
        </w:rPr>
        <w:t xml:space="preserve">Ergebnis: </w:t>
      </w:r>
      <w:r>
        <w:t>174 geimpfte und ungeimpfte PASC-Patienten zeigten nach 3–6 Monaten in beiden Gruppen signifikante Verbesserungen bei Müdigkeit und Leistungsfähigkeit; kein statistisch signifikanter Unterschied zwischen Gruppen. Die Studie findet keine Evidenz für eine Verschlechterung durch Impfung, kleinere Effekte sind aber nicht ausgeschlossen.</w:t>
      </w:r>
    </w:p>
    <w:p>
      <w:r>
        <w:rPr>
          <w:b/>
          <w:sz w:val="19"/>
        </w:rPr>
        <w:t xml:space="preserve">Übertragbarkeit: </w:t>
      </w:r>
      <w:r>
        <w:rPr>
          <w:sz w:val="19"/>
        </w:rPr>
        <w:t>Deutschland, vergleichbare Gesundheitssysteme, ambulante Langzeit-COVID-Versorgung</w:t>
      </w:r>
    </w:p>
    <w:p>
      <w:r>
        <w:rPr>
          <w:color w:val="5A7D3A"/>
          <w:sz w:val="18"/>
        </w:rPr>
        <w:t>https://pubmed.ncbi.nlm.nih.gov/42755271/</w:t>
      </w:r>
    </w:p>
    <w:p>
      <w:pPr>
        <w:pStyle w:val="Heading2"/>
      </w:pPr>
      <w:r>
        <w:t>BCG-Immuntherapie bei Typ-1-Diabetes: Glukosemetabolismus korrigiert, HbA1c-Reduktion 8 Jahre stabil</w:t>
      </w:r>
    </w:p>
    <w:p>
      <w:r>
        <w:rPr>
          <w:i/>
          <w:color w:val="666666"/>
          <w:sz w:val="18"/>
        </w:rPr>
        <w:t>Faustman DL et al.  ·  Cells  ·  03.09.2026  ·  PMID 42738899</w:t>
      </w:r>
    </w:p>
    <w:p>
      <w:r>
        <w:t>Übersichtsarbeit zu klinischen Studien und mechanistischen Arbeiten über multi-Dosis-BCG-Immuntherapie bei Typ-1-Diabetes (T1D) und latent autoimmune diabetes in adults (LADA) über 15 Jahre.</w:t>
      </w:r>
    </w:p>
    <w:p>
      <w:r>
        <w:rPr>
          <w:b/>
        </w:rPr>
        <w:t xml:space="preserve">Ergebnis: </w:t>
      </w:r>
      <w:r>
        <w:t>T1D: Multiple klinische Studien zeigen stabile, wiederholte Reduktionen des HbA1c zu nahezu normalen Werten (vs. Placebo) für mindestens 8 Jahre, ohne Wiederherstellung der Pankreasfunction. Mechanismus: BCG-induzierte Korrektur von aerober Glykolyse-Defekten in lymphoiden/myeloiden Zellen → erhöhter Glukoseaufnahme nachgewiesen durch Langzeit-PET/CT. LADA: Minimale oder fehlende klinische Verbesserung; aber BCG reduziert Entzündung und fördert regulatorische T-Zellen. Epigenetische Umgestaltung ohne Genotyp-Änderung.</w:t>
      </w:r>
    </w:p>
    <w:p>
      <w:r>
        <w:rPr>
          <w:b/>
          <w:sz w:val="19"/>
        </w:rPr>
        <w:t xml:space="preserve">Übertragbarkeit: </w:t>
      </w:r>
      <w:r>
        <w:rPr>
          <w:sz w:val="19"/>
        </w:rPr>
        <w:t>USA-Studien mit deutschen Kliniken; Diabetes-Versorgung übertragbar</w:t>
      </w:r>
    </w:p>
    <w:p>
      <w:r>
        <w:rPr>
          <w:color w:val="5A7D3A"/>
          <w:sz w:val="18"/>
        </w:rPr>
        <w:t>https://pubmed.ncbi.nlm.nih.gov/42738899/</w:t>
      </w:r>
    </w:p>
    <w:p>
      <w:pPr>
        <w:pStyle w:val="Heading2"/>
      </w:pPr>
      <w:r>
        <w:t>BCG-Impfung bei Kindern: Genetische Varianten in Entzündungsproteinen zeigen Interaktion mit Impfantwort</w:t>
      </w:r>
    </w:p>
    <w:p>
      <w:r>
        <w:rPr>
          <w:i/>
          <w:color w:val="666666"/>
          <w:sz w:val="18"/>
        </w:rPr>
        <w:t>Boahen CK et al.  ·  Biomed Pharmacother  ·  13.08.2026  ·  PMID 42594746</w:t>
      </w:r>
    </w:p>
    <w:p>
      <w:r>
        <w:t>Genom-weites pQTL-Mapping (Protein-Quantitative-Trait-Loci) von 65 zirkulierenden Entzündungsproteinen bei Monat 13 post-BCG-Impfung in dänischen Kindern zur Identifikation genetischer Varianten, die die Immunantwort beeinflussen.</w:t>
      </w:r>
    </w:p>
    <w:p>
      <w:r>
        <w:rPr>
          <w:b/>
        </w:rPr>
        <w:t xml:space="preserve">Ergebnis: </w:t>
      </w:r>
      <w:r>
        <w:t>11 unabhängige genomweit signifikante Loci identifiziert. Vier pQTL zeigten Evidenz für Genotyp-by-BCG-Interaktionen (rs10217747: CXCL11, rs13187850: CD6, rs56283092: LAP-TGF-β1, rs11708321: CDCP1) mit größeren Effektschätzungen in BCG-Gruppe. Diese Varianten wurden zuvor mit Entzündungs- und Autoimmun-Traits assoziiert. Befunde sind explorativ und hypothesengenerierend, erfordern weitere Validierung.</w:t>
      </w:r>
    </w:p>
    <w:p>
      <w:r>
        <w:rPr>
          <w:b/>
          <w:sz w:val="19"/>
        </w:rPr>
        <w:t xml:space="preserve">Übertragbarkeit: </w:t>
      </w:r>
      <w:r>
        <w:rPr>
          <w:sz w:val="19"/>
        </w:rPr>
        <w:t>Dänemark, Gesundheitssystem vergleichbar; nationale BCG-Impfquoten-Registry vorhanden</w:t>
      </w:r>
    </w:p>
    <w:p>
      <w:r>
        <w:rPr>
          <w:color w:val="5A7D3A"/>
          <w:sz w:val="18"/>
        </w:rPr>
        <w:t>https://pubmed.ncbi.nlm.nih.gov/42594746/</w:t>
      </w:r>
    </w:p>
    <w:p>
      <w:pPr>
        <w:pStyle w:val="Heading1"/>
      </w:pPr>
      <w:r>
        <w:t>Aufgenommen am 19.09.2026</w:t>
      </w:r>
    </w:p>
    <w:p>
      <w:pPr>
        <w:pStyle w:val="Heading2"/>
      </w:pPr>
      <w:r>
        <w:t>Maschinenlernen identifiziert Null-Dosis-Kinder in Subsahara-Afrika</w:t>
      </w:r>
    </w:p>
    <w:p>
      <w:r>
        <w:rPr>
          <w:i/>
          <w:color w:val="666666"/>
          <w:sz w:val="18"/>
        </w:rPr>
        <w:t>Endehabtu BF et al.  ·  BMJ Health Care Inform  ·  18.09.2026  ·  PMID 42759970</w:t>
      </w:r>
    </w:p>
    <w:p>
      <w:r>
        <w:t>Prädiktives Modellentwicklungs-Projekt mit Daten von 27 subsaharischen Ländern (Demographic Health Survey 2016–2024) zur Risikoidentifikation von Kindern ohne Impfung.</w:t>
      </w:r>
    </w:p>
    <w:p>
      <w:r>
        <w:rPr>
          <w:b/>
        </w:rPr>
        <w:t xml:space="preserve">Ergebnis: </w:t>
      </w:r>
      <w:r>
        <w:t>LightGBM-Modell zeigte beste Gesamtleistung: 80 % Genauigkeit, 91 % Sensitivität, AUROC 0,78. Wichtigste Prädiktoren: Entbindungsort, Geburtsvorkontakten, Mutter-Tetanus-Impfung, Haushaltsvermögen, mütterliche Bildung. Ermöglicht frühe Risikoidentifikation.</w:t>
      </w:r>
    </w:p>
    <w:p>
      <w:r>
        <w:rPr>
          <w:b/>
          <w:sz w:val="19"/>
        </w:rPr>
        <w:t xml:space="preserve">Übertragbarkeit: </w:t>
      </w:r>
      <w:r>
        <w:rPr>
          <w:sz w:val="19"/>
        </w:rPr>
        <w:t>Subsahara-Afrika, digitales Tooldesign auf Länder mit WHO DHSatz übertragbar.</w:t>
      </w:r>
    </w:p>
    <w:p>
      <w:r>
        <w:rPr>
          <w:color w:val="5A7D3A"/>
          <w:sz w:val="18"/>
        </w:rPr>
        <w:t>https://pubmed.ncbi.nlm.nih.gov/42759970/</w:t>
      </w:r>
    </w:p>
    <w:p>
      <w:pPr>
        <w:pStyle w:val="Heading2"/>
      </w:pPr>
      <w:r>
        <w:t>RSV-Impfeffektivität bei älteren Erwachsenen in den USA zeigt hohe Wirksamkeit</w:t>
      </w:r>
    </w:p>
    <w:p>
      <w:r>
        <w:rPr>
          <w:i/>
          <w:color w:val="666666"/>
          <w:sz w:val="18"/>
        </w:rPr>
        <w:t>Lu Y et al.  ·  JAMA Netw Open  ·  01.09.2026  ·  PMID 42758507</w:t>
      </w:r>
    </w:p>
    <w:p>
      <w:r>
        <w:t>Nationale Kohortenstudie zur klinischen Wirksamkeit zweier RSV-Impfstoffe bei Medicare-Patienten ab 65 Jahren in der ersten Saison nach Zulassung (August 2023 bis März 2024).</w:t>
      </w:r>
    </w:p>
    <w:p>
      <w:r>
        <w:rPr>
          <w:b/>
        </w:rPr>
        <w:t xml:space="preserve">Ergebnis: </w:t>
      </w:r>
      <w:r>
        <w:t>RSVPreF3+AS01 und RSVpreF hatten eine Effektivität von 81,8 % (95-%-KI 80,0–83,4 %) gegen RSV-bedingte Hospitalisierungen und 85,0 % gegen RSV-bedingte Todesfälle. Brand-spezifisch: RSVPreF3+AS01 79,9 %, RSVpreF 85,1 %. Bei immungeschwächten Personen 72,2 %. Wirksam über alle Altersgruppen ab 65 Jahren.</w:t>
      </w:r>
    </w:p>
    <w:p>
      <w:r>
        <w:rPr>
          <w:b/>
          <w:sz w:val="19"/>
        </w:rPr>
        <w:t xml:space="preserve">Übertragbarkeit: </w:t>
      </w:r>
      <w:r>
        <w:rPr>
          <w:sz w:val="19"/>
        </w:rPr>
        <w:t>Medicare-Daten, vergleichbare Dokumentationspflichten wie Deutschland.</w:t>
      </w:r>
    </w:p>
    <w:p>
      <w:r>
        <w:rPr>
          <w:color w:val="5A7D3A"/>
          <w:sz w:val="18"/>
        </w:rPr>
        <w:t>https://pubmed.ncbi.nlm.nih.gov/42758507/</w:t>
      </w:r>
    </w:p>
    <w:p>
      <w:pPr>
        <w:pStyle w:val="Heading2"/>
      </w:pPr>
      <w:r>
        <w:t>Impfbefürwortung durch Fachpersonal: Trainingseffekt bei Hebammen und Pflegekräften</w:t>
      </w:r>
    </w:p>
    <w:p>
      <w:r>
        <w:rPr>
          <w:i/>
          <w:color w:val="666666"/>
          <w:sz w:val="18"/>
        </w:rPr>
        <w:t>Tiryaki Ö  ·  Biomedica  ·  20.08.2026  ·  PMID 42757794</w:t>
      </w:r>
    </w:p>
    <w:p>
      <w:r>
        <w:t>Quasi-experimentelle Studie mit Vorher-Nachher-Messung zur Wirkung eines Impfaufklärungstrainings auf die Impfbefürwortung bei 249 Hebammen und Pflegekräften.</w:t>
      </w:r>
    </w:p>
    <w:p>
      <w:r>
        <w:rPr>
          <w:b/>
        </w:rPr>
        <w:t xml:space="preserve">Ergebnis: </w:t>
      </w:r>
      <w:r>
        <w:t>Vaccine Advocacy Scale für Kinderimpfungen stieg signifikant von 45,19 ± 2,85 vor auf 46,95 ± 1,99 Punkte nach dem Training (Wilcoxon p = 0,000). Effekt niedrig, aber statistisch robust; Ausgangsniveau bereits hoch.</w:t>
      </w:r>
    </w:p>
    <w:p>
      <w:r>
        <w:rPr>
          <w:b/>
          <w:sz w:val="19"/>
        </w:rPr>
        <w:t xml:space="preserve">Übertragbarkeit: </w:t>
      </w:r>
      <w:r>
        <w:rPr>
          <w:sz w:val="19"/>
        </w:rPr>
        <w:t>Türkisches Setting, Pflegekräfte-Schulung auf Deutschland übertragbar.</w:t>
      </w:r>
    </w:p>
    <w:p>
      <w:r>
        <w:rPr>
          <w:color w:val="5A7D3A"/>
          <w:sz w:val="18"/>
        </w:rPr>
        <w:t>https://pubmed.ncbi.nlm.nih.gov/42757794/</w:t>
      </w:r>
    </w:p>
    <w:p>
      <w:pPr>
        <w:pStyle w:val="Heading2"/>
      </w:pPr>
      <w:r>
        <w:t>RSVPreF3-Impfstoff bei älteren Chinesen immunogenetisch gleichwertig zu globaler Population</w:t>
      </w:r>
    </w:p>
    <w:p>
      <w:r>
        <w:rPr>
          <w:i/>
          <w:color w:val="666666"/>
          <w:sz w:val="18"/>
        </w:rPr>
        <w:t>Guo X et al.  ·  Front Immunol  ·  03.09.2026  ·  PMID 42756146</w:t>
      </w:r>
    </w:p>
    <w:p>
      <w:r>
        <w:t>Phase-3-Immunbrückungs-Studie zur Nichtunterlegenheit von RSVPreF3 bei ≥60-jährigen chinesischen Erwachsenen gegenüber internationaler Vergleichsgruppe (6 Länder).</w:t>
      </w:r>
    </w:p>
    <w:p>
      <w:r>
        <w:rPr>
          <w:b/>
        </w:rPr>
        <w:t xml:space="preserve">Ergebnis: </w:t>
      </w:r>
      <w:r>
        <w:t>Nichtunterlegenheitskriterien erfüllt: GMT-Verhältnisse für RSV-A/B 1,20/1,10 (akzeptabel ≤1,5), Seroresponse-Unterschiede 3,40 %/4,89 % (akzeptabel ≤10 %). RSV-A/B-Neutralisationstiter 5523/8073 ED60 (China), 6605/8286 (Ausland). Lokale Nebenwirkungen meist mild-moderat, Ernsthaftigkeit niedrig (0,2–0,3 % immune-vermittelt).</w:t>
      </w:r>
    </w:p>
    <w:p>
      <w:r>
        <w:rPr>
          <w:b/>
          <w:sz w:val="19"/>
        </w:rPr>
        <w:t xml:space="preserve">Übertragbarkeit: </w:t>
      </w:r>
      <w:r>
        <w:rPr>
          <w:sz w:val="19"/>
        </w:rPr>
        <w:t>China, aber Immunogenität-Ergebnis zur Globalität des Impfstoffs übertra gbar.</w:t>
      </w:r>
    </w:p>
    <w:p>
      <w:r>
        <w:rPr>
          <w:color w:val="5A7D3A"/>
          <w:sz w:val="18"/>
        </w:rPr>
        <w:t>https://pubmed.ncbi.nlm.nih.gov/42756146/</w:t>
      </w:r>
    </w:p>
    <w:p>
      <w:pPr>
        <w:pStyle w:val="Heading2"/>
      </w:pPr>
      <w:r>
        <w:t>Impfgerechtigkeit als Planungsprinzip: Lehren aus der COVID-19-Pandemie</w:t>
      </w:r>
    </w:p>
    <w:p>
      <w:r>
        <w:rPr>
          <w:i/>
          <w:color w:val="666666"/>
          <w:sz w:val="18"/>
        </w:rPr>
        <w:t>Ghafari M et al.  ·  Expert Rev Vaccines  ·  16.09.2026  ·  PMID 42750274</w:t>
      </w:r>
    </w:p>
    <w:p>
      <w:r>
        <w:t>Synthesearbeit von Literatur und Politikberichten zu globalen Impfstoff-Rollouts, insbesondere über Verteilungsszenarien, Beschaffung und dezentralisierte Herstellung.</w:t>
      </w:r>
    </w:p>
    <w:p>
      <w:r>
        <w:rPr>
          <w:b/>
        </w:rPr>
        <w:t xml:space="preserve">Ergebnis: </w:t>
      </w:r>
      <w:r>
        <w:t>COVID-19 zeigte: Schnelle Entwicklung ohne Gerechtigkeitsplanung schuf vermeidbare Schäden. Lösungen sind geografisch verteilte Herstellung, vorab vereinbarte epidemiologisch gesteuerte Zuteilung, transparente Datenaustausch und Neutralisierung kommerzieller Verzerrungen. Empfehlung: Institutionalisierte disaggregierte Berichterstattung und standardisierte Daten-Sharing.</w:t>
      </w:r>
    </w:p>
    <w:p>
      <w:r>
        <w:rPr>
          <w:b/>
          <w:sz w:val="19"/>
        </w:rPr>
        <w:t xml:space="preserve">Übertragbarkeit: </w:t>
      </w:r>
      <w:r>
        <w:rPr>
          <w:sz w:val="19"/>
        </w:rPr>
        <w:t>Europäisches und Schweizer System, Prinzipien auf DACH übertragbar.</w:t>
      </w:r>
    </w:p>
    <w:p>
      <w:r>
        <w:rPr>
          <w:color w:val="5A7D3A"/>
          <w:sz w:val="18"/>
        </w:rPr>
        <w:t>https://pubmed.ncbi.nlm.nih.gov/42750274/</w:t>
      </w:r>
    </w:p>
    <w:p>
      <w:pPr>
        <w:pStyle w:val="Heading2"/>
      </w:pPr>
      <w:r>
        <w:t>Inaktivierter Rotavirus-Impfstoff: Sicherheit und Immunogenität bei Kleinkindern</w:t>
      </w:r>
    </w:p>
    <w:p>
      <w:r>
        <w:rPr>
          <w:i/>
          <w:color w:val="666666"/>
          <w:sz w:val="18"/>
        </w:rPr>
        <w:t>Zhou Y et al.  ·  Nat Commun  ·  14.08.2026  ·  PMID 42733081</w:t>
      </w:r>
    </w:p>
    <w:p>
      <w:r>
        <w:t>Randomisierte, placebokontrollierte Phase-1-Studie zur Dosis-Eskalation von Rotavirus-Impfstoff bei 288 Kindern 2–71 Monate ohne vorherige Rotavirus-Impfung.</w:t>
      </w:r>
    </w:p>
    <w:p>
      <w:r>
        <w:rPr>
          <w:b/>
        </w:rPr>
        <w:t xml:space="preserve">Ergebnis: </w:t>
      </w:r>
      <w:r>
        <w:t>Keine impfstoffbezogenen SAEs; transiente Mild-bis-Mäßig-Fieber nur in Hochdosis-Säuglings-Gruppe (klinisch handhabbar). Neutralisierende Antikörper-GMT dose-abhängig erhöht. 3-Dosis-Säugling-Gruppe (320 EU): GMT 551,98 vs. 36,17 (Placebo), Serokonversionsrate 83,33 % vs. 10 %. 3-Dosis-Schema überlegen 2-Dosis.</w:t>
      </w:r>
    </w:p>
    <w:p>
      <w:r>
        <w:rPr>
          <w:b/>
          <w:sz w:val="19"/>
        </w:rPr>
        <w:t xml:space="preserve">Übertragbarkeit: </w:t>
      </w:r>
      <w:r>
        <w:rPr>
          <w:sz w:val="19"/>
        </w:rPr>
        <w:t>Chinesische Studie, Sicherheits- und Immunogenitätsdaten auf frühe Klinische Phasen übertragbar.</w:t>
      </w:r>
    </w:p>
    <w:p>
      <w:r>
        <w:rPr>
          <w:color w:val="5A7D3A"/>
          <w:sz w:val="18"/>
        </w:rPr>
        <w:t>https://pubmed.ncbi.nlm.nih.gov/42733081/</w:t>
      </w:r>
    </w:p>
    <w:p>
      <w:pPr>
        <w:pStyle w:val="Heading1"/>
      </w:pPr>
      <w:r>
        <w:t>Aufgenommen am 18.09.2026</w:t>
      </w:r>
    </w:p>
    <w:p>
      <w:pPr>
        <w:pStyle w:val="Heading2"/>
      </w:pPr>
      <w:r>
        <w:t>RSV-Hospitalisierungen vor Impfstoffeinführung: Altersgruppen und Datenlücken</w:t>
      </w:r>
    </w:p>
    <w:p>
      <w:r>
        <w:rPr>
          <w:i/>
          <w:color w:val="666666"/>
          <w:sz w:val="18"/>
        </w:rPr>
        <w:t>Imai-Boulter C et al.  ·  Med J Aust  ·  Sept. 2026  ·  PMID 42754405</w:t>
      </w:r>
    </w:p>
    <w:p>
      <w:r>
        <w:t>Retrospektive bevölkerungsbasierte Studie zur RSV-Krankheitslast in Australien vor Immunisierungsstart (2016–2019 Hospitalisierungen, 2023 Labor-Meldungen).</w:t>
      </w:r>
    </w:p>
    <w:p>
      <w:r>
        <w:rPr>
          <w:b/>
        </w:rPr>
        <w:t xml:space="preserve">Ergebnis: </w:t>
      </w:r>
      <w:r>
        <w:t>Hospitalisierungen bei &lt;3 Monaten alt: 4014/100000, bei ≥65 Jahren: 122/100000 (steigende Tendenz); 55 % der Bronchiolitiden mit ungeklärter Ursache; Labor-Meldungen höchst bei 6–11 Monaten (7778/100000). Zeigt Datenlücken bei Fallerfassung und Testfrequenz.</w:t>
      </w:r>
    </w:p>
    <w:p>
      <w:r>
        <w:rPr>
          <w:b/>
          <w:sz w:val="19"/>
        </w:rPr>
        <w:t xml:space="preserve">Übertragbarkeit: </w:t>
      </w:r>
      <w:r>
        <w:rPr>
          <w:sz w:val="19"/>
        </w:rPr>
        <w:t>Australien (Versorgungsdaten verfügbar); ähnliche Datenstrukturen in Deutschland schwächer (kein nationales Impfregister).</w:t>
      </w:r>
    </w:p>
    <w:p>
      <w:r>
        <w:rPr>
          <w:color w:val="5A7D3A"/>
          <w:sz w:val="18"/>
        </w:rPr>
        <w:t>https://pubmed.ncbi.nlm.nih.gov/42754405/</w:t>
      </w:r>
    </w:p>
    <w:p>
      <w:pPr>
        <w:pStyle w:val="Heading2"/>
      </w:pPr>
      <w:r>
        <w:t>MZB1-Spiegel sagen Langzeitschutz nach Hepatitis-B-Impfung voraus</w:t>
      </w:r>
    </w:p>
    <w:p>
      <w:r>
        <w:rPr>
          <w:i/>
          <w:color w:val="666666"/>
          <w:sz w:val="18"/>
        </w:rPr>
        <w:t>Huang ML et al.  ·  Front Immunol  ·  02.09.2026  ·  PMID 42751130</w:t>
      </w:r>
    </w:p>
    <w:p>
      <w:r>
        <w:t>Single-Cell-RNA-Seq plus nested case-control und Interventionsstudie zur Identifikation von B-Zell-Markern für stabilen Anti-HBs-Schutz.</w:t>
      </w:r>
    </w:p>
    <w:p>
      <w:r>
        <w:rPr>
          <w:b/>
        </w:rPr>
        <w:t xml:space="preserve">Ergebnis: </w:t>
      </w:r>
      <w:r>
        <w:t>MZB1 signifikant erhöht in B-Zellen von Langzeitschützer/innen (p=2,1e-12); Serum-MZB1 &gt;1000 mIU/ml nach 30 Jahren: 7,1±2,2 ng/ml vs. Anti-HBs-Negative: 0,96±0,1 ng/ml (p&lt;0,0001); MZB1 korreliert stark mit Anti-HBs-Titer (r=0,892). MZB1 schon nach 1. Dosis erhöht, VE besser bei hohen MZB1-Konzentrationen.</w:t>
      </w:r>
    </w:p>
    <w:p>
      <w:r>
        <w:rPr>
          <w:b/>
          <w:sz w:val="19"/>
        </w:rPr>
        <w:t xml:space="preserve">Übertragbarkeit: </w:t>
      </w:r>
      <w:r>
        <w:rPr>
          <w:sz w:val="19"/>
        </w:rPr>
        <w:t>China (Validierungskohorten mobil), Biomarker universal; kein nationales Vorteil, aber wissenschaftlich relevant.</w:t>
      </w:r>
    </w:p>
    <w:p>
      <w:r>
        <w:rPr>
          <w:color w:val="5A7D3A"/>
          <w:sz w:val="18"/>
        </w:rPr>
        <w:t>https://pubmed.ncbi.nlm.nih.gov/42751130/</w:t>
      </w:r>
    </w:p>
    <w:p>
      <w:pPr>
        <w:pStyle w:val="Heading2"/>
      </w:pPr>
      <w:r>
        <w:t>Wertaffirmation in Impfkampagnen: Small Effects auf Impfbereitschaft</w:t>
      </w:r>
    </w:p>
    <w:p>
      <w:r>
        <w:rPr>
          <w:i/>
          <w:color w:val="666666"/>
          <w:sz w:val="18"/>
        </w:rPr>
        <w:t>Wolsko C et al.  ·  PLoS One  ·  16.09.2026  ·  PMID 42748077</w:t>
      </w:r>
    </w:p>
    <w:p>
      <w:r>
        <w:t>Online-Befragung von 1170 Ungeimpften (USA, Frühjahr 2021) zu COVID-Impfbotschaften, die auf persönliche Werte ausgerichtet sind.</w:t>
      </w:r>
    </w:p>
    <w:p>
      <w:r>
        <w:rPr>
          <w:b/>
        </w:rPr>
        <w:t xml:space="preserve">Ergebnis: </w:t>
      </w:r>
      <w:r>
        <w:t>Botschaften, die Misstrauen in Regierung und Sorgen vor Freiheitsbeschränkung bestätigten, zeigten höhere Impfbereitschaft und mehr Vertrauen als Kontrolle; Effektgrößen klein, aber bedeutsam für Vaccine Hesitancy-Subgruppen.</w:t>
      </w:r>
    </w:p>
    <w:p>
      <w:r>
        <w:rPr>
          <w:b/>
          <w:sz w:val="19"/>
        </w:rPr>
        <w:t xml:space="preserve">Übertragbarkeit: </w:t>
      </w:r>
      <w:r>
        <w:rPr>
          <w:sz w:val="19"/>
        </w:rPr>
        <w:t>USA (Wertbetonung kulturabhängig); Kommunikationsstrategie prinzipiell übertragbar, aber Wertrahmen müssen regional angepasst werden.</w:t>
      </w:r>
    </w:p>
    <w:p>
      <w:r>
        <w:rPr>
          <w:color w:val="5A7D3A"/>
          <w:sz w:val="18"/>
        </w:rPr>
        <w:t>https://pubmed.ncbi.nlm.nih.gov/42748077/</w:t>
      </w:r>
    </w:p>
    <w:p>
      <w:pPr>
        <w:pStyle w:val="Heading2"/>
      </w:pPr>
      <w:r>
        <w:t>Impf-Fachkompetenz in Äthiopien schwach: nur 50 % erfüllen Mindeststandard</w:t>
      </w:r>
    </w:p>
    <w:p>
      <w:r>
        <w:rPr>
          <w:i/>
          <w:color w:val="666666"/>
          <w:sz w:val="18"/>
        </w:rPr>
        <w:t>Olani A et al.  ·  PLoS One  ·  15.09.2026  ·  PMID 42743175</w:t>
      </w:r>
    </w:p>
    <w:p>
      <w:r>
        <w:t>Observationale Studie mit Checklisten zur Impf-Fachkompetenz in 34 äthiopischen Gesundheitseinrichtungen.</w:t>
      </w:r>
    </w:p>
    <w:p>
      <w:r>
        <w:rPr>
          <w:b/>
        </w:rPr>
        <w:t xml:space="preserve">Ergebnis: </w:t>
      </w:r>
      <w:r>
        <w:t>340 Impfungen beobachtet; Gesamtkompetenz 50 % (Schwelle: 80 %); beste Leistung: Verabreichung (71 %), schlechteste: Dokumentation (22 %); Defizite in Infektionskontrolle und Patienten-Kommunikation. Lücke zwischen theoretischem Wissen und praktischer Umsetzung.</w:t>
      </w:r>
    </w:p>
    <w:p>
      <w:r>
        <w:rPr>
          <w:b/>
          <w:sz w:val="19"/>
        </w:rPr>
        <w:t xml:space="preserve">Übertragbarkeit: </w:t>
      </w:r>
      <w:r>
        <w:rPr>
          <w:sz w:val="19"/>
        </w:rPr>
        <w:t>Äthiopien (Niedrig-Ressourcen), begrenzte Übertragbarkeit; zeigt jedoch global relevante Schulungs- und Überwachungsdefizite.</w:t>
      </w:r>
    </w:p>
    <w:p>
      <w:r>
        <w:rPr>
          <w:color w:val="5A7D3A"/>
          <w:sz w:val="18"/>
        </w:rPr>
        <w:t>https://pubmed.ncbi.nlm.nih.gov/42743175/</w:t>
      </w:r>
    </w:p>
    <w:p>
      <w:pPr>
        <w:pStyle w:val="Heading2"/>
      </w:pPr>
      <w:r>
        <w:t>Ökologische Studien zu Impfeffekten könnten Versorgungsdaten für Deutschland liefern</w:t>
      </w:r>
    </w:p>
    <w:p>
      <w:r>
        <w:rPr>
          <w:i/>
          <w:color w:val="666666"/>
          <w:sz w:val="18"/>
        </w:rPr>
        <w:t>Nolting T et al.  ·  BMJ Open  ·  11.09.2026  ·  PMID 42731829</w:t>
      </w:r>
    </w:p>
    <w:p>
      <w:r>
        <w:t>Scoping Review, die ökologische Studien zu Impfeffektivität systematisieren soll, mit Fokus auf Deutschland.</w:t>
      </w:r>
    </w:p>
    <w:p>
      <w:r>
        <w:rPr>
          <w:b/>
        </w:rPr>
        <w:t xml:space="preserve">Ergebnis: </w:t>
      </w:r>
      <w:r>
        <w:t>Studienprotokoll ohne empirische Ergebnisse; zeigt einen Forschungsbedarf für vergleichende Analysen der Impfbeiträge zu Morbidität und Mortalität.</w:t>
      </w:r>
    </w:p>
    <w:p>
      <w:r>
        <w:rPr>
          <w:b/>
          <w:sz w:val="19"/>
        </w:rPr>
        <w:t xml:space="preserve">Übertragbarkeit: </w:t>
      </w:r>
      <w:r>
        <w:rPr>
          <w:sz w:val="19"/>
        </w:rPr>
        <w:t>Deutschland, zukünftige Datenquelle; Übertragbarkeit hängt von Verfügbarkeit von Routinedaten ab.</w:t>
      </w:r>
    </w:p>
    <w:p>
      <w:r>
        <w:rPr>
          <w:color w:val="5A7D3A"/>
          <w:sz w:val="18"/>
        </w:rPr>
        <w:t>https://pubmed.ncbi.nlm.nih.gov/42731829/</w:t>
      </w:r>
    </w:p>
    <w:p>
      <w:pPr>
        <w:pStyle w:val="Heading2"/>
      </w:pPr>
      <w:r>
        <w:t>Impfantwort bei Krebs und Immunsuppression: RESPONSE-Kohortenstudie</w:t>
      </w:r>
    </w:p>
    <w:p>
      <w:r>
        <w:rPr>
          <w:i/>
          <w:color w:val="666666"/>
          <w:sz w:val="18"/>
        </w:rPr>
        <w:t>Felipe Fumero E et al.  ·  JMIR Res Protoc  ·  23.07.2026  ·  PMID 42492070</w:t>
      </w:r>
    </w:p>
    <w:p>
      <w:r>
        <w:t>Prospektive Kohortenstudie zu humoralen und zellulären Reaktionen auf Atemwegs-Impfstoffe bei onkologischen Patienten, Rekrutierung seit März 2025 laufend.</w:t>
      </w:r>
    </w:p>
    <w:p>
      <w:r>
        <w:rPr>
          <w:b/>
        </w:rPr>
        <w:t xml:space="preserve">Ergebnis: </w:t>
      </w:r>
      <w:r>
        <w:t>Protokoll mit laufender Rekrutierung; Fokus auf frühe und späte Booster-Effekte. Finale Analysen ab Q3 2026 geplant; zielt auf T-Zell-Antworten, die bei dieser Gruppe zuverlässiger sind als Antikörper.</w:t>
      </w:r>
    </w:p>
    <w:p>
      <w:r>
        <w:rPr>
          <w:b/>
          <w:sz w:val="19"/>
        </w:rPr>
        <w:t xml:space="preserve">Übertragbarkeit: </w:t>
      </w:r>
      <w:r>
        <w:rPr>
          <w:sz w:val="19"/>
        </w:rPr>
        <w:t>Deutschland (Köln, Universitätsklinik), direkt übertragbar auf Versorgungsfragen bei Immunsuppression.</w:t>
      </w:r>
    </w:p>
    <w:p>
      <w:r>
        <w:rPr>
          <w:color w:val="5A7D3A"/>
          <w:sz w:val="18"/>
        </w:rPr>
        <w:t>https://pubmed.ncbi.nlm.nih.gov/42492070/</w:t>
      </w:r>
    </w:p>
    <w:p>
      <w:pPr>
        <w:pStyle w:val="Heading1"/>
      </w:pPr>
      <w:r>
        <w:t>Aufgenommen am 17.09.2026</w:t>
      </w:r>
    </w:p>
    <w:p>
      <w:pPr>
        <w:pStyle w:val="Heading2"/>
      </w:pPr>
      <w:r>
        <w:t>Gonorrhoe-Impfstoff: Modellierte Prävalenzreduktion in abgelegenem indigenem Australien</w:t>
      </w:r>
    </w:p>
    <w:p>
      <w:r>
        <w:rPr>
          <w:i/>
          <w:color w:val="666666"/>
          <w:sz w:val="18"/>
        </w:rPr>
        <w:t>Padeniya TN et al.  ·  Sex Health  ·  20.10.2026  ·  PMID 42749469</w:t>
      </w:r>
    </w:p>
    <w:p>
      <w:r>
        <w:t>Mathematisches Transmissionsmodell (individual-basiert) zur Analyse der Effektivität einer hypothetischen Gonorrhoe-Impfung in abgelegenen Gemeinden mit hoher Inzidenz bei 16–36-jährigen australischen Ureinwohnern.</w:t>
      </w:r>
    </w:p>
    <w:p>
      <w:r>
        <w:rPr>
          <w:b/>
        </w:rPr>
        <w:t xml:space="preserve">Ergebnis: </w:t>
      </w:r>
      <w:r>
        <w:t>Bei 5-Jahres-Nachverfolgung mit 40 % jährlicher Impfquote und Impfstoff mit 25–50 % Schutzwirksamkeit: relative Prävalenzreduktion 15–28 %. Bei 80 % Impfquote und 75 % Wirksamkeit: 95 % (5 Jahre) bis 98 % (10 Jahre) Reduktion. Auch mit partieller Wirksamkeit substantielle Prävalenzrückgänge möglich.</w:t>
      </w:r>
    </w:p>
    <w:p>
      <w:r>
        <w:rPr>
          <w:b/>
          <w:sz w:val="19"/>
        </w:rPr>
        <w:t xml:space="preserve">Übertragbarkeit: </w:t>
      </w:r>
      <w:r>
        <w:rPr>
          <w:sz w:val="19"/>
        </w:rPr>
        <w:t>Australien mit Registersystem und hoher Datenqualität, aber Bevölkerungszusammensetzung und epidemiologische Lage unterscheiden sich von Deutschland.</w:t>
      </w:r>
    </w:p>
    <w:p>
      <w:r>
        <w:rPr>
          <w:color w:val="5A7D3A"/>
          <w:sz w:val="18"/>
        </w:rPr>
        <w:t>https://pubmed.ncbi.nlm.nih.gov/42749469/</w:t>
      </w:r>
    </w:p>
    <w:p>
      <w:pPr>
        <w:pStyle w:val="Heading2"/>
      </w:pPr>
      <w:r>
        <w:t>Herpes-Zoster-Impfung: Wirksamkeit gegen Zoster, Ophthalmicus und postherpetische Neuralgie</w:t>
      </w:r>
    </w:p>
    <w:p>
      <w:r>
        <w:rPr>
          <w:i/>
          <w:color w:val="666666"/>
          <w:sz w:val="18"/>
        </w:rPr>
        <w:t>Heen E et al.  ·  Rev Med Virol  ·  Sept. 2026  ·  PMID 42748460</w:t>
      </w:r>
    </w:p>
    <w:p>
      <w:r>
        <w:t>Systematische Übersicht mit Metaanalyse von 18 Studien (3 RCT, 15 Beobachtungsstudien) zur Effektivität des Recombinant-Zoster-Impfstoffs (RZV) gegen Herpes zoster und Komplikationen in ≥50-Jährigen.</w:t>
      </w:r>
    </w:p>
    <w:p>
      <w:r>
        <w:rPr>
          <w:b/>
        </w:rPr>
        <w:t xml:space="preserve">Ergebnis: </w:t>
      </w:r>
      <w:r>
        <w:t>RZV zeigte in RCT 95 % Effektivität gegen Herpes zoster (hochgradig), substantielle Reduktion von Herpes-Zoster-Ophthalmicus (hochgradig), wahrscheinlich postherpetische Neuralgia (moderat). Durable Schutzwirkung mind. 11 Jahre nachgewiesen (niedrig bis moderat). Mögliche Assoziation mit reduziertem Demenzrisiko (niedrig, durch healthy-vaccinee-bias-Unsicherheit).</w:t>
      </w:r>
    </w:p>
    <w:p>
      <w:r>
        <w:rPr>
          <w:b/>
          <w:sz w:val="19"/>
        </w:rPr>
        <w:t xml:space="preserve">Übertragbarkeit: </w:t>
      </w:r>
      <w:r>
        <w:rPr>
          <w:sz w:val="19"/>
        </w:rPr>
        <w:t>Norwegen und Schweden, vergleichbare altersstrukturierte Bevölkerungen und Impfregister; Befunde direkt auf deutsches Zoster-Impfprogramm übertragbar.</w:t>
      </w:r>
    </w:p>
    <w:p>
      <w:r>
        <w:rPr>
          <w:color w:val="5A7D3A"/>
          <w:sz w:val="18"/>
        </w:rPr>
        <w:t>https://pubmed.ncbi.nlm.nih.gov/42748460/</w:t>
      </w:r>
    </w:p>
    <w:p>
      <w:pPr>
        <w:pStyle w:val="Heading2"/>
      </w:pPr>
      <w:r>
        <w:t>Kulturell angepasste HPV-Aufklärung und Impfintention in Saudi-Arabien</w:t>
      </w:r>
    </w:p>
    <w:p>
      <w:r>
        <w:rPr>
          <w:i/>
          <w:color w:val="666666"/>
          <w:sz w:val="18"/>
        </w:rPr>
        <w:t>Elsayed EA et al.  ·  JMIR Public Health Surveill  ·  16.09.2026  ·  PMID 42748422</w:t>
      </w:r>
    </w:p>
    <w:p>
      <w:r>
        <w:t>Quasi-experimentelle Studie (Prä-Post mit Kontrollgruppe, n=380) zur Wirkung einer 45-minütigen, an lokale Werte adaptierten Schulungsintervention auf HPV-Wissen, Gesundheitsbewusstsein und Impfbereitschaft.</w:t>
      </w:r>
    </w:p>
    <w:p>
      <w:r>
        <w:rPr>
          <w:b/>
        </w:rPr>
        <w:t xml:space="preserve">Ergebnis: </w:t>
      </w:r>
      <w:r>
        <w:t>In der Interventionsgruppe zeigte sich bei 3-Monats-Nachverfolgung gegenüber Kontrollen: Wissen (β=0,84, p&lt;0,001, d=0,45), Bewusstsein (β=0,88, p&lt;0,001, d=0,44), Einstellung (β=0,70, p&lt;0,001, d=0,38), Impfabsicht (β=0,86, p&lt;0,001, d=0,82, großer Effekt). Effekte über Altersgruppen, Bildung und Gesundheitskompetenz konsistent.</w:t>
      </w:r>
    </w:p>
    <w:p>
      <w:r>
        <w:rPr>
          <w:b/>
          <w:sz w:val="19"/>
        </w:rPr>
        <w:t xml:space="preserve">Übertragbarkeit: </w:t>
      </w:r>
      <w:r>
        <w:rPr>
          <w:sz w:val="19"/>
        </w:rPr>
        <w:t>Saudi-Arabien, begrenzt übertragbar, aber Modell für kulturell sensible Beratung in diversen deutschen Bevölkerungsgruppen.</w:t>
      </w:r>
    </w:p>
    <w:p>
      <w:r>
        <w:rPr>
          <w:color w:val="5A7D3A"/>
          <w:sz w:val="18"/>
        </w:rPr>
        <w:t>https://pubmed.ncbi.nlm.nih.gov/42748422/</w:t>
      </w:r>
    </w:p>
    <w:p>
      <w:pPr>
        <w:pStyle w:val="Heading2"/>
      </w:pPr>
      <w:r>
        <w:t>Personalisierte Neoantigen-Impfstoff-Therapie bei Kopf-Hals-Karzinom vermeidet Rezidive</w:t>
      </w:r>
    </w:p>
    <w:p>
      <w:r>
        <w:rPr>
          <w:i/>
          <w:color w:val="666666"/>
          <w:sz w:val="18"/>
        </w:rPr>
        <w:t>Ottensmeier C et al.  ·  Nat Commun  ·  17.08.2026  ·  PMID 42744798</w:t>
      </w:r>
    </w:p>
    <w:p>
      <w:r>
        <w:t>Randomisierte Phase-I-Studie (n=32) zur Adjuvans-Therapie mit TG4050, einem individualisierten viralen Neoantigen-Impfstoff mit bis zu 30 tumor-spezifischen Neoantigenen, nach Standard-Chemotherapie vs. abwartendem Vorgehen.</w:t>
      </w:r>
    </w:p>
    <w:p>
      <w:r>
        <w:rPr>
          <w:b/>
        </w:rPr>
        <w:t xml:space="preserve">Ergebnis: </w:t>
      </w:r>
      <w:r>
        <w:t>Unmittelbare TG4050-Gruppe: 0 von 16 Rezidive nach 30 Monaten Nachverfolgung; Kontrollgruppe: 3 von 16 Rezidive. T-Zell-Antworten gegen Neoantigen in 73,3 % detektiert (Median 3 Neoantigen pro Responder), persistent über 1 Jahr. Neoantigen-spezifische CD8+ T-Zellen zeigten Effektor- und geweberesidente Marker.</w:t>
      </w:r>
    </w:p>
    <w:p>
      <w:r>
        <w:rPr>
          <w:b/>
          <w:sz w:val="19"/>
        </w:rPr>
        <w:t xml:space="preserve">Übertragbarkeit: </w:t>
      </w:r>
      <w:r>
        <w:rPr>
          <w:sz w:val="19"/>
        </w:rPr>
        <w:t>Multinationale Studie (UK, Frankreich, Niederlande), übertragbar auf deutsches Klinikum mit entsprechender molekularer Tumorcharakterisierung.</w:t>
      </w:r>
    </w:p>
    <w:p>
      <w:r>
        <w:rPr>
          <w:color w:val="5A7D3A"/>
          <w:sz w:val="18"/>
        </w:rPr>
        <w:t>https://pubmed.ncbi.nlm.nih.gov/42744798/</w:t>
      </w:r>
    </w:p>
    <w:p>
      <w:pPr>
        <w:pStyle w:val="Heading2"/>
      </w:pPr>
      <w:r>
        <w:t>HPV-Impfung bei Erwachsenen 27–45 Jahren: Quote und Trends in USA</w:t>
      </w:r>
    </w:p>
    <w:p>
      <w:r>
        <w:rPr>
          <w:i/>
          <w:color w:val="666666"/>
          <w:sz w:val="18"/>
        </w:rPr>
        <w:t>Fisher-Borne M et al.  ·  Hum Vaccin Immunother  ·  10.09.2026  ·  PMID 42723147</w:t>
      </w:r>
    </w:p>
    <w:p>
      <w:r>
        <w:t>Retrospektive Auswertung kommerzieller Claims-Daten 2019–2023 zur HPV-Impfquote bei erwachsenen Frauen und Männern unter shared clinical decision-making.</w:t>
      </w:r>
    </w:p>
    <w:p>
      <w:r>
        <w:rPr>
          <w:b/>
        </w:rPr>
        <w:t xml:space="preserve">Ergebnis: </w:t>
      </w:r>
      <w:r>
        <w:t>Annual HPV-Impfinitiation stieg von 0,21 % (2019) auf 0,54 % (2023); kumulativ über 5 Jahre 0,84 % bei 3–4 Mio. jährlich ungeimpften Personen. Apotheken als Impfort nahmen zu, regionale Variation 0,23–1,56 %.</w:t>
      </w:r>
    </w:p>
    <w:p>
      <w:r>
        <w:rPr>
          <w:b/>
          <w:sz w:val="19"/>
        </w:rPr>
        <w:t xml:space="preserve">Übertragbarkeit: </w:t>
      </w:r>
      <w:r>
        <w:rPr>
          <w:sz w:val="19"/>
        </w:rPr>
        <w:t>USA mit grundlegend anderer Versicherungsstruktur; aber Befunde zur Rolle von Apotheken und regionaler Varianz relevant für Deutschland.</w:t>
      </w:r>
    </w:p>
    <w:p>
      <w:r>
        <w:rPr>
          <w:color w:val="5A7D3A"/>
          <w:sz w:val="18"/>
        </w:rPr>
        <w:t>https://pubmed.ncbi.nlm.nih.gov/42723147/</w:t>
      </w:r>
    </w:p>
    <w:p>
      <w:pPr>
        <w:pStyle w:val="Heading2"/>
      </w:pPr>
      <w:r>
        <w:t>Immunosuppression-Entzug und mRNA-Impfung bei Nierentransplantierten</w:t>
      </w:r>
    </w:p>
    <w:p>
      <w:r>
        <w:rPr>
          <w:i/>
          <w:color w:val="666666"/>
          <w:sz w:val="18"/>
        </w:rPr>
        <w:t>Goerlich N et al.  ·  Front Immunol  ·  17.08.2026  ·  PMID 42676352</w:t>
      </w:r>
    </w:p>
    <w:p>
      <w:r>
        <w:t>Hochdimensionale Analyse der Immunzellkomposition bei Nierentransplantierten unter temporärem Mycophenolsäure-Entzug während mRNA-1273-Impfung.</w:t>
      </w:r>
    </w:p>
    <w:p>
      <w:r>
        <w:rPr>
          <w:b/>
        </w:rPr>
        <w:t xml:space="preserve">Ergebnis: </w:t>
      </w:r>
      <w:r>
        <w:t>Mycophenolsäure-Entzug war assoziiert mit erhöhten CD4+/CD8+ T-Zell-Frequenzen (p=0,039 bzw. p=0,001) und verminderten Monozyten- und B-Zell-Frequenzen (p=0,014 bzw. p=0,023). Effekte variierten je nach Transplantationsdauer und Alter; kein einzelner Marker war prädiktiv für Serokonversion.</w:t>
      </w:r>
    </w:p>
    <w:p>
      <w:r>
        <w:rPr>
          <w:b/>
          <w:sz w:val="19"/>
        </w:rPr>
        <w:t xml:space="preserve">Übertragbarkeit: </w:t>
      </w:r>
      <w:r>
        <w:rPr>
          <w:sz w:val="19"/>
        </w:rPr>
        <w:t>Deutsche Klinikstudie, direkt übertragbar auf deutsches Transplantationssystem mit vergleichbarer Immunsuppression.</w:t>
      </w:r>
    </w:p>
    <w:p>
      <w:r>
        <w:rPr>
          <w:color w:val="5A7D3A"/>
          <w:sz w:val="18"/>
        </w:rPr>
        <w:t>https://pubmed.ncbi.nlm.nih.gov/42676352/</w:t>
      </w:r>
    </w:p>
    <w:p>
      <w:pPr>
        <w:pStyle w:val="Heading2"/>
      </w:pPr>
      <w:r>
        <w:t>IL-33 und sST2 nach Tdap-Booster-Impfung bei finnischen Kindern</w:t>
      </w:r>
    </w:p>
    <w:p>
      <w:r>
        <w:rPr>
          <w:i/>
          <w:color w:val="666666"/>
          <w:sz w:val="18"/>
        </w:rPr>
        <w:t>Anabe D et al.  ·  Cytokine  ·  13.08.2026  ·  PMID 42594457</w:t>
      </w:r>
    </w:p>
    <w:p>
      <w:r>
        <w:t>Longitudinale Untersuchung von Interleukin-33 und löslichem ST2 in Serum vor und nach Tdap-IPV-Booster-Impfung in unterschiedlichen Altersgruppen (7–70 Jahre).</w:t>
      </w:r>
    </w:p>
    <w:p>
      <w:r>
        <w:rPr>
          <w:b/>
        </w:rPr>
        <w:t xml:space="preserve">Ergebnis: </w:t>
      </w:r>
      <w:r>
        <w:t>IL-33 in 70 % der Fälle nicht nachweisbar. Serum-sST2 zeigte signifikanten Anstieg über 365 Tage (p&lt;0,001), mit höherem Ausgangswert bei jüngeren Altersgruppen. Keine Assoziation zwischen IL-33/sST2 und Impfantwort oder Zytokinen.</w:t>
      </w:r>
    </w:p>
    <w:p>
      <w:r>
        <w:rPr>
          <w:b/>
          <w:sz w:val="19"/>
        </w:rPr>
        <w:t xml:space="preserve">Übertragbarkeit: </w:t>
      </w:r>
      <w:r>
        <w:rPr>
          <w:sz w:val="19"/>
        </w:rPr>
        <w:t>Finnland, vergleichbares skandinavisches Gesundheitssystem und Register; etablierte Referenzwerte für präklinische Marker.</w:t>
      </w:r>
    </w:p>
    <w:p>
      <w:r>
        <w:rPr>
          <w:color w:val="5A7D3A"/>
          <w:sz w:val="18"/>
        </w:rPr>
        <w:t>https://pubmed.ncbi.nlm.nih.gov/42594457/</w:t>
      </w:r>
    </w:p>
    <w:p>
      <w:pPr>
        <w:pStyle w:val="Heading1"/>
      </w:pPr>
      <w:r>
        <w:t>Aufgenommen am 16.09.2026</w:t>
      </w:r>
    </w:p>
    <w:p>
      <w:pPr>
        <w:pStyle w:val="Heading2"/>
      </w:pPr>
      <w:r>
        <w:t>Digitale Assistenten für HPV-Impfung und Gebärmutterhalskrebs-Screening – was funktioniert?</w:t>
      </w:r>
    </w:p>
    <w:p>
      <w:r>
        <w:rPr>
          <w:i/>
          <w:color w:val="666666"/>
          <w:sz w:val="18"/>
        </w:rPr>
        <w:t>Umbetzhanova A et al.  ·  Front Public Health  ·  31.08.2026  ·  PMID 42741336</w:t>
      </w:r>
    </w:p>
    <w:p>
      <w:r>
        <w:t>Systematische Übersicht von 14 Studien (2016–2026) zur Frage, ob interaktive digitale Tools (Chatbots, Apps, Serious Games) HPV-Impfung und Gebärmutterhals-Screening erhöhen.</w:t>
      </w:r>
    </w:p>
    <w:p>
      <w:r>
        <w:rPr>
          <w:b/>
        </w:rPr>
        <w:t xml:space="preserve">Ergebnis: </w:t>
      </w:r>
      <w:r>
        <w:t>Chatbots zeigten vielversprechende Kurzzeit-Effekte auf Termin-Buchung (moderate Evidenz), aber hohe Abbruch-Quoten bei Mehrfach-Dosen. Theorie-basierte Apps erhöhten Zytologie-Inanspruchnahme kurzfristig (moderate Evidenz). Ein Serious Game korrelierte mit höheren CIN2+-Erkennungsraten, aber Confounding war schwerwiegend. Insgesamt: moderate Kurzzeit-Effekte, aber unzureichende Evidenz für Dauer.</w:t>
      </w:r>
    </w:p>
    <w:p>
      <w:r>
        <w:rPr>
          <w:b/>
          <w:sz w:val="19"/>
        </w:rPr>
        <w:t xml:space="preserve">Übertragbarkeit: </w:t>
      </w:r>
      <w:r>
        <w:rPr>
          <w:sz w:val="19"/>
        </w:rPr>
        <w:t>Mehrländer-Übersicht, digitale Hürden international ähnlich</w:t>
      </w:r>
    </w:p>
    <w:p>
      <w:r>
        <w:rPr>
          <w:color w:val="5A7D3A"/>
          <w:sz w:val="18"/>
        </w:rPr>
        <w:t>https://pubmed.ncbi.nlm.nih.gov/42741336/</w:t>
      </w:r>
    </w:p>
    <w:p>
      <w:pPr>
        <w:pStyle w:val="Heading2"/>
      </w:pPr>
      <w:r>
        <w:t>Impfen in Schulen: Was Schulkrankenpfleger in Colorado als Barrieren berichten</w:t>
      </w:r>
    </w:p>
    <w:p>
      <w:r>
        <w:rPr>
          <w:i/>
          <w:color w:val="666666"/>
          <w:sz w:val="18"/>
        </w:rPr>
        <w:t>Nienstedt L et al.  ·  J Sch Health  ·  Okt. 2026  ·  PMID 42740714</w:t>
      </w:r>
    </w:p>
    <w:p>
      <w:r>
        <w:t>Querschnittsbefragung von 368 Schulkrankenpflegern in Colorado 2024, ob und wie sie schulgebundene Impfaktionen (SAVEs) umsetzten.</w:t>
      </w:r>
    </w:p>
    <w:p>
      <w:r>
        <w:rPr>
          <w:b/>
        </w:rPr>
        <w:t xml:space="preserve">Ergebnis: </w:t>
      </w:r>
      <w:r>
        <w:t>Schulen ohne SAVEs nannten Mangel an Leitlinien (Top-3-Barriere), fehlende Personalzeit und mangelnde externe Partnerschaften als Haupthindernisse. In ländlichen Schulen rangierte Impf-Politisierung unter Top-Barrieren; in Schulen mit niedrigem Einkommen und Gymnasien war Zeitdruck dominant. Schulen mit SAVEs betont externe Partnerschaften und elterliches Vertrauen als Erfolsfaktoren.</w:t>
      </w:r>
    </w:p>
    <w:p>
      <w:r>
        <w:rPr>
          <w:b/>
          <w:sz w:val="19"/>
        </w:rPr>
        <w:t xml:space="preserve">Übertragbarkeit: </w:t>
      </w:r>
      <w:r>
        <w:rPr>
          <w:sz w:val="19"/>
        </w:rPr>
        <w:t>USA - nur Zugangswegs-Hürden übertragbar, nicht System</w:t>
      </w:r>
    </w:p>
    <w:p>
      <w:r>
        <w:rPr>
          <w:color w:val="5A7D3A"/>
          <w:sz w:val="18"/>
        </w:rPr>
        <w:t>https://pubmed.ncbi.nlm.nih.gov/42740714/</w:t>
      </w:r>
    </w:p>
    <w:p>
      <w:pPr>
        <w:pStyle w:val="Heading2"/>
      </w:pPr>
      <w:r>
        <w:t>Grippeschutz bei Älteren: Bildung und Umgebung beeinflussen Impfquote</w:t>
      </w:r>
    </w:p>
    <w:p>
      <w:r>
        <w:rPr>
          <w:i/>
          <w:color w:val="666666"/>
          <w:sz w:val="18"/>
        </w:rPr>
        <w:t>Zhang C et al.  ·  Zhonghua Yu Fang Yi Xue Za Zhi  ·  06.09.2026  ·  PMID 42736149</w:t>
      </w:r>
    </w:p>
    <w:p>
      <w:r>
        <w:t>Befragung von 700 Personen ≥60 Jahren in Shaanxi (China) 2025 zu Einflussfaktoren auf Grippeimpfung.</w:t>
      </w:r>
    </w:p>
    <w:p>
      <w:r>
        <w:rPr>
          <w:b/>
        </w:rPr>
        <w:t xml:space="preserve">Ergebnis: </w:t>
      </w:r>
      <w:r>
        <w:t>49,7% geimpft, 50,3% ungeimpft. Schutzfaktoren: Hochschulbildung (OR 2,77), Stadtwohnung (OR 1,94), hohes Infektionsrisiko-Bewusstsein (OR 4,89), Glaube an Impfnutzen (OR 10,96), Familie/Freunde mit Impfgeschichte (OR 5,07). Bildung und soziales Umfeld sind stärkste Prädiktoren – nicht Zugang allein.</w:t>
      </w:r>
    </w:p>
    <w:p>
      <w:r>
        <w:rPr>
          <w:b/>
          <w:sz w:val="19"/>
        </w:rPr>
        <w:t xml:space="preserve">Übertragbarkeit: </w:t>
      </w:r>
      <w:r>
        <w:rPr>
          <w:sz w:val="19"/>
        </w:rPr>
        <w:t>China - Befund zu Risiko-Wahrnehmung und Vertrauen transnational relevant</w:t>
      </w:r>
    </w:p>
    <w:p>
      <w:r>
        <w:rPr>
          <w:color w:val="5A7D3A"/>
          <w:sz w:val="18"/>
        </w:rPr>
        <w:t>https://pubmed.ncbi.nlm.nih.gov/42736149/</w:t>
      </w:r>
    </w:p>
    <w:p>
      <w:pPr>
        <w:pStyle w:val="Heading2"/>
      </w:pPr>
      <w:r>
        <w:t>RSV-Impfung in der Schwangerschaft und Frühgeburtsrisiko: Metaanalyse</w:t>
      </w:r>
    </w:p>
    <w:p>
      <w:r>
        <w:rPr>
          <w:i/>
          <w:color w:val="666666"/>
          <w:sz w:val="18"/>
        </w:rPr>
        <w:t>Leskinen N et al.  ·  Immun Inflamm Dis  ·  Sept. 2026  ·  PMID 42712161</w:t>
      </w:r>
    </w:p>
    <w:p>
      <w:r>
        <w:t>Metaanalyse von 7 Studien (3 RCTs, 4 Beobachtungsstudien; insgesamt ~17.000 Geburten) zur Frage, ob mütterliche RSV-PreF-Impfung Frühgeburten oder NICU-Aufnahmen erhöht.</w:t>
      </w:r>
    </w:p>
    <w:p>
      <w:r>
        <w:rPr>
          <w:b/>
        </w:rPr>
        <w:t xml:space="preserve">Ergebnis: </w:t>
      </w:r>
      <w:r>
        <w:t>RCTs zeigten erhöhtes Frühgeburtsrisiko (RR 1,26, 95%-KI 1,08–1,46); Beobachtungsstudien nicht (RR 0,78, 95%-KI 0,46–1,32). Gepoolte Analyse: kein Gesamteffekt (RR 0,96, 95%-KI 0,68–1,38). NICU-Aufnahme nicht erhöht (RR 0,74). Evidenzsicherheit niedrig bis sehr niedrig; Überwachung empfohlen.</w:t>
      </w:r>
    </w:p>
    <w:p>
      <w:r>
        <w:rPr>
          <w:b/>
          <w:sz w:val="19"/>
        </w:rPr>
        <w:t xml:space="preserve">Übertragbarkeit: </w:t>
      </w:r>
      <w:r>
        <w:rPr>
          <w:sz w:val="19"/>
        </w:rPr>
        <w:t>Mehrländer-Studie, übertragbar auf europaähnliche Settings</w:t>
      </w:r>
    </w:p>
    <w:p>
      <w:r>
        <w:rPr>
          <w:color w:val="5A7D3A"/>
          <w:sz w:val="18"/>
        </w:rPr>
        <w:t>https://pubmed.ncbi.nlm.nih.gov/42712161/</w:t>
      </w:r>
    </w:p>
    <w:p>
      <w:pPr>
        <w:pStyle w:val="Heading2"/>
      </w:pPr>
      <w:r>
        <w:t>Auffrischimpfung gegen JN.1-Variante aktiviert neue B-Zell-Subpopulationen</w:t>
      </w:r>
    </w:p>
    <w:p>
      <w:r>
        <w:rPr>
          <w:i/>
          <w:color w:val="666666"/>
          <w:sz w:val="18"/>
        </w:rPr>
        <w:t>Stankov MV et al.  ·  Nat Commun  ·  24.07.2026  ·  PMID 42498786</w:t>
      </w:r>
    </w:p>
    <w:p>
      <w:r>
        <w:t>Deutsche Längsschnittstudie (n=42, überwiegend mehrfach Geimpfte und Infizierte) untersuchte, wie JN.1-adaptierte mRNA-Booster die Antikörper- und B-Zell-Antwort verändern.</w:t>
      </w:r>
    </w:p>
    <w:p>
      <w:r>
        <w:rPr>
          <w:b/>
        </w:rPr>
        <w:t xml:space="preserve">Ergebnis: </w:t>
      </w:r>
      <w:r>
        <w:t>IgG-Bindung und Neutralisierungstiter gegen JN.1 stiegen; Antigen-spezifische Memory-B-Zellen zeigten durch Mutationen (somatic hypermutation) verbesserte JN.1-Bindung, ohne dass neue naive B-Zellen massiv rekrutiert wurden. Effekt: Reifung vorbestehender Memory-B-Zellen statt Neuausrichtung.</w:t>
      </w:r>
    </w:p>
    <w:p>
      <w:r>
        <w:rPr>
          <w:b/>
          <w:sz w:val="19"/>
        </w:rPr>
        <w:t xml:space="preserve">Übertragbarkeit: </w:t>
      </w:r>
      <w:r>
        <w:rPr>
          <w:sz w:val="19"/>
        </w:rPr>
        <w:t>Deutschland, vergleichbare Impfstrategie und Dokumentation</w:t>
      </w:r>
    </w:p>
    <w:p>
      <w:r>
        <w:rPr>
          <w:color w:val="5A7D3A"/>
          <w:sz w:val="18"/>
        </w:rPr>
        <w:t>https://pubmed.ncbi.nlm.nih.gov/42498786/</w:t>
      </w:r>
    </w:p>
    <w:p>
      <w:pPr>
        <w:pStyle w:val="Heading2"/>
      </w:pPr>
      <w:r>
        <w:t>CAR-T-Therapien in Europa: Axicabtagene vs. Tisagenlecleucel bei großzelligem Lymphom</w:t>
      </w:r>
    </w:p>
    <w:p>
      <w:r>
        <w:rPr>
          <w:i/>
          <w:color w:val="666666"/>
          <w:sz w:val="18"/>
        </w:rPr>
        <w:t>Li H et al.  ·  PeerJ  ·  06.07.2026  ·  PMID 42428526</w:t>
      </w:r>
    </w:p>
    <w:p>
      <w:r>
        <w:t>Systematische Übersicht von 8 europäischen Kohortenstudien mit 2.178 Patienten verglich Wirksamkeit und Toxizität zweier CAR-T-Produkte gegen diffuses großzelliges B-Zell-Lymphom.</w:t>
      </w:r>
    </w:p>
    <w:p>
      <w:r>
        <w:rPr>
          <w:b/>
        </w:rPr>
        <w:t xml:space="preserve">Ergebnis: </w:t>
      </w:r>
      <w:r>
        <w:t>Axicabtagene zeigte höhere 3-Monats-Ansprechquoten (signifikant, p nicht genannt), aber niedrigere 12-Monats-progressionsfreie Überlebensraten; höhere Raten für Zytokinfreibsetzungssyndrom und neurotoxisches Syndrom (ICANS) alle Grade sowie Grade ≥3 ICANS, häufigere Tocilizumab-Gabe. Unter europäischen Alltagsbedingungen zeigt sich ein Wirksamkeits-Toxizitäts-Trade-off.</w:t>
      </w:r>
    </w:p>
    <w:p>
      <w:r>
        <w:rPr>
          <w:b/>
          <w:sz w:val="19"/>
        </w:rPr>
        <w:t xml:space="preserve">Übertragbarkeit: </w:t>
      </w:r>
      <w:r>
        <w:rPr>
          <w:sz w:val="19"/>
        </w:rPr>
        <w:t>Europa - acht Kohorten, vergleichbares Versicherungssystem</w:t>
      </w:r>
    </w:p>
    <w:p>
      <w:r>
        <w:rPr>
          <w:color w:val="5A7D3A"/>
          <w:sz w:val="18"/>
        </w:rPr>
        <w:t>https://pubmed.ncbi.nlm.nih.gov/42428526/</w:t>
      </w:r>
    </w:p>
    <w:p>
      <w:pPr>
        <w:pStyle w:val="Heading1"/>
      </w:pPr>
      <w:r>
        <w:t>Aufgenommen am 15.09.2026</w:t>
      </w:r>
    </w:p>
    <w:p>
      <w:pPr>
        <w:pStyle w:val="Heading2"/>
      </w:pPr>
      <w:r>
        <w:t>COVID-19-Pandemie verbesserte Wissen und Einstellung zur Polioimpfung in Pakistan</w:t>
      </w:r>
    </w:p>
    <w:p>
      <w:r>
        <w:rPr>
          <w:i/>
          <w:color w:val="666666"/>
          <w:sz w:val="18"/>
        </w:rPr>
        <w:t>Ullah A et al.  ·  East Mediterr Health J  ·  03.09.2026  ·  PMID 42734198</w:t>
      </w:r>
    </w:p>
    <w:p>
      <w:r>
        <w:t>Querschnittsstudie mit 308 Eltern von Kindern unter fünf Jahren in Nord-Waziristan, Pakistan (Januar bis April 2025) zum Wissensstand über Polioimpfung vor und nach COVID-19.</w:t>
      </w:r>
    </w:p>
    <w:p>
      <w:r>
        <w:rPr>
          <w:b/>
        </w:rPr>
        <w:t xml:space="preserve">Ergebnis: </w:t>
      </w:r>
      <w:r>
        <w:t>Mittlere Wissenspunktzahl stieg von 6,2±2,3 (vor COVID-19) auf 8,3±2,1 (nach COVID-19; p&lt;0,0001). Gutes Wissen (Punktzahl ≥9) nahm von 36,3 % auf 58,7 % zu, Fehlvorstellungen sanken von 64,9 % auf 35,1 %. Empfehlungen von Fachpersonal (85 %), Social-Media-Kampagnen (76 %) und Verfechter religiöser Führer (55 %) trugen zur Verbesserung bei.</w:t>
      </w:r>
    </w:p>
    <w:p>
      <w:r>
        <w:rPr>
          <w:b/>
          <w:sz w:val="19"/>
        </w:rPr>
        <w:t xml:space="preserve">Übertragbarkeit: </w:t>
      </w:r>
      <w:r>
        <w:rPr>
          <w:sz w:val="19"/>
        </w:rPr>
        <w:t>Pakistan – Impfakzeptanz-Befunde, aber anderes Gesundheitssystem</w:t>
      </w:r>
    </w:p>
    <w:p>
      <w:r>
        <w:rPr>
          <w:color w:val="5A7D3A"/>
          <w:sz w:val="18"/>
        </w:rPr>
        <w:t>https://pubmed.ncbi.nlm.nih.gov/42734198/</w:t>
      </w:r>
    </w:p>
    <w:p>
      <w:pPr>
        <w:pStyle w:val="Heading2"/>
      </w:pPr>
      <w:r>
        <w:t>Herpes Zoster-Impfstoff LZ901 schützt 91,6 Prozent der Geimpften vor Erkrankung</w:t>
      </w:r>
    </w:p>
    <w:p>
      <w:r>
        <w:rPr>
          <w:i/>
          <w:color w:val="666666"/>
          <w:sz w:val="18"/>
        </w:rPr>
        <w:t>Jin P et al.  ·  Nat Commun  ·  07.08.2026  ·  PMID 42733065</w:t>
      </w:r>
    </w:p>
    <w:p>
      <w:r>
        <w:t>Randomisierte, placebokontrollierte Phase-3-Studie zur Wirksamkeit und Sicherheit des Herpes-Zoster-Impfstoffs LZ901 (rekombinante gE-Fc-Fusionprotein) bei 26 018 Erwachsenen ab 40 Jahren über 12 Monate.</w:t>
      </w:r>
    </w:p>
    <w:p>
      <w:r>
        <w:rPr>
          <w:b/>
        </w:rPr>
        <w:t xml:space="preserve">Ergebnis: </w:t>
      </w:r>
      <w:r>
        <w:t>Impfeffektivität gegen Herpes Zoster 91,6 % (95%-KI 86,3–95,3; p&lt;0,001); bei 40–69 Jahren 93,9 %, bei ≥70 Jahren 66,9 %. Gegen Post-Zoster-Neuralgie 95,9 % (95%-KI 63,9–99,9). Injektionsstellen- und systemische Reaktionen erhöht, Grad-3-Reaktionen selten (0,3 % vs. 0,4 % Placebo), keine schwerwiegenden unerwünschten Ereignisse.</w:t>
      </w:r>
    </w:p>
    <w:p>
      <w:r>
        <w:rPr>
          <w:b/>
          <w:sz w:val="19"/>
        </w:rPr>
        <w:t xml:space="preserve">Übertragbarkeit: </w:t>
      </w:r>
      <w:r>
        <w:rPr>
          <w:sz w:val="19"/>
        </w:rPr>
        <w:t>China, vergleichbare epidemiologische Zielgruppe und klinische Endpunkte</w:t>
      </w:r>
    </w:p>
    <w:p>
      <w:r>
        <w:rPr>
          <w:color w:val="5A7D3A"/>
          <w:sz w:val="18"/>
        </w:rPr>
        <w:t>https://pubmed.ncbi.nlm.nih.gov/42733065/</w:t>
      </w:r>
    </w:p>
    <w:p>
      <w:pPr>
        <w:pStyle w:val="Heading2"/>
      </w:pPr>
      <w:r>
        <w:t>Mobile-App zur HPV-Impfberatung erhöhte Impfrate bei Kindern auf 48 Prozent</w:t>
      </w:r>
    </w:p>
    <w:p>
      <w:r>
        <w:rPr>
          <w:i/>
          <w:color w:val="666666"/>
          <w:sz w:val="18"/>
        </w:rPr>
        <w:t>Cunningham-Erves J et al.  ·  JMIR Cancer  ·  09.09.2026  ·  PMID 42715554</w:t>
      </w:r>
    </w:p>
    <w:p>
      <w:r>
        <w:t>Pilot-RCT (Juni–September 2023) in zwei Stadtkliniken Tennessee mit 57 Eltern von Kindern 9–17 Jahren. HPVVaxFacts-App vermittelt tailorierte Impfaufklärung vor Klinikbesuch versus Ernährungsedukation (Aufmerksamkeitskontrolle).</w:t>
      </w:r>
    </w:p>
    <w:p>
      <w:r>
        <w:rPr>
          <w:b/>
        </w:rPr>
        <w:t xml:space="preserve">Ergebnis: </w:t>
      </w:r>
      <w:r>
        <w:t>HPV-Impfeinleitung Interventionsgruppe 48 %, Kontrollgruppe 17 % (Differenz 0,24; 95%-KI 0,03–0,46; p=0,01). Wissensgewinne und Besorgnis-Reduktion in der App-Gruppe größer, aber nicht statistisch signifikant (p=0,13 und p=0,14). 81 % der Eltern nutzten die App, Mehrheit fand Protokoll und App akzeptabel.</w:t>
      </w:r>
    </w:p>
    <w:p>
      <w:r>
        <w:rPr>
          <w:b/>
          <w:sz w:val="19"/>
        </w:rPr>
        <w:t xml:space="preserve">Übertragbarkeit: </w:t>
      </w:r>
      <w:r>
        <w:rPr>
          <w:sz w:val="19"/>
        </w:rPr>
        <w:t>USA – Impfakzeptanz-Intervention, transferierbar nur für Designprinzipien</w:t>
      </w:r>
    </w:p>
    <w:p>
      <w:r>
        <w:rPr>
          <w:color w:val="5A7D3A"/>
          <w:sz w:val="18"/>
        </w:rPr>
        <w:t>https://pubmed.ncbi.nlm.nih.gov/42715554/</w:t>
      </w:r>
    </w:p>
    <w:p>
      <w:pPr>
        <w:pStyle w:val="Heading2"/>
      </w:pPr>
      <w:r>
        <w:t>Verständnis der Herpes-Zoster-Erkrankung steigert Impfquote bei älteren Erwachsenen in China</w:t>
      </w:r>
    </w:p>
    <w:p>
      <w:r>
        <w:rPr>
          <w:i/>
          <w:color w:val="666666"/>
          <w:sz w:val="18"/>
        </w:rPr>
        <w:t>Cao H et al.  ·  Hum Vaccin Immunother  ·  08.09.2026  ·  PMID 42708543</w:t>
      </w:r>
    </w:p>
    <w:p>
      <w:r>
        <w:t>Querschnittsstudie mit 1556 Bürgern ab 60 Jahren aus Shenzhen, China (August–Oktober 2024) zu psychosozialen und familiären Faktoren der Herpes-Zoster-Impfakzeptanz.</w:t>
      </w:r>
    </w:p>
    <w:p>
      <w:r>
        <w:rPr>
          <w:b/>
        </w:rPr>
        <w:t xml:space="preserve">Ergebnis: </w:t>
      </w:r>
      <w:r>
        <w:t>8,0 % der Teilnehmer waren geimpft. Besseres Verständnis (Kohärenz) war mit höherer Impfquote assoziiert (AOR 1,15; 95%-KI 1,07–1,24). Impfmüdigkeit korrelierte mit niedrigerer Quote (AOR 0,79; 95%-KI 0,62–0,99). Stark modifizierbare psychosoziale Faktoren identifiziert.</w:t>
      </w:r>
    </w:p>
    <w:p>
      <w:r>
        <w:rPr>
          <w:b/>
          <w:sz w:val="19"/>
        </w:rPr>
        <w:t xml:space="preserve">Übertragbarkeit: </w:t>
      </w:r>
      <w:r>
        <w:rPr>
          <w:sz w:val="19"/>
        </w:rPr>
        <w:t>China – Versorgungskontext anderer, Impfskepsis-Mechanismen aber übertragbar</w:t>
      </w:r>
    </w:p>
    <w:p>
      <w:r>
        <w:rPr>
          <w:color w:val="5A7D3A"/>
          <w:sz w:val="18"/>
        </w:rPr>
        <w:t>https://pubmed.ncbi.nlm.nih.gov/42708543/</w:t>
      </w:r>
    </w:p>
    <w:p>
      <w:pPr>
        <w:pStyle w:val="Heading2"/>
      </w:pPr>
      <w:r>
        <w:t>Altersabhängige Immunabläufe erklären unterschiedliche Influenza-Impfwirksamkeit über Lebensalter</w:t>
      </w:r>
    </w:p>
    <w:p>
      <w:r>
        <w:rPr>
          <w:i/>
          <w:color w:val="666666"/>
          <w:sz w:val="18"/>
        </w:rPr>
        <w:t>Liu J et al.  ·  Front Immunol  ·  24.08.2026  ·  PMID 42707705</w:t>
      </w:r>
    </w:p>
    <w:p>
      <w:r>
        <w:t>Narrativer Review zu Einflussfaktoren des Alters auf Influenza-Impfeffektivität und zu lebensalter-spezifischen Immunmechanismen von der Entwicklung über Reifung bis zur Immunoseneszenz.</w:t>
      </w:r>
    </w:p>
    <w:p>
      <w:r>
        <w:rPr>
          <w:b/>
        </w:rPr>
        <w:t xml:space="preserve">Ergebnis: </w:t>
      </w:r>
      <w:r>
        <w:t>Influenza-Impfeffektivität zeigt erhebliche altersabhängige Heterogenität. Immun-Remodellierung über die Lebensspanne prägt Vakzin-Reaktionen. Review schlägt altersgerechte Impfstoff-Optimierungsstrategie vor: spezifische Formulierungen für Kinder, Erwachsene und ältere Menschen statt ‚one-dose-fits-all'-Modell. Theoretische Grundlage für Präzisions-Impfparadigma gelegt.</w:t>
      </w:r>
    </w:p>
    <w:p>
      <w:r>
        <w:rPr>
          <w:b/>
          <w:sz w:val="19"/>
        </w:rPr>
        <w:t xml:space="preserve">Übertragbarkeit: </w:t>
      </w:r>
      <w:r>
        <w:rPr>
          <w:sz w:val="19"/>
        </w:rPr>
        <w:t>China (Institut), aber Immunologie-Mechanismen universal</w:t>
      </w:r>
    </w:p>
    <w:p>
      <w:r>
        <w:rPr>
          <w:color w:val="5A7D3A"/>
          <w:sz w:val="18"/>
        </w:rPr>
        <w:t>https://pubmed.ncbi.nlm.nih.gov/42707705/</w:t>
      </w:r>
    </w:p>
    <w:p>
      <w:pPr>
        <w:pStyle w:val="Heading2"/>
      </w:pPr>
      <w:r>
        <w:t>23-valente Pneumokokken-Polysaccharidimpfung senkte ambulante Pneumonie um knapp 20 Prozent</w:t>
      </w:r>
    </w:p>
    <w:p>
      <w:r>
        <w:rPr>
          <w:i/>
          <w:color w:val="666666"/>
          <w:sz w:val="18"/>
        </w:rPr>
        <w:t>Vernooij FS et al.  ·  Epidemiol Infect  ·  23.07.2026  ·  PMID 42487216</w:t>
      </w:r>
    </w:p>
    <w:p>
      <w:r>
        <w:t>Regression-Discontinuity-Analyse der Wirkung der PPV23-Impfung auf nicht-invasive Pneumokokken-Pneumonie bei Erwachsenen über 60 Jahren in den Niederlanden zwischen 2016 und 2023.</w:t>
      </w:r>
    </w:p>
    <w:p>
      <w:r>
        <w:rPr>
          <w:b/>
        </w:rPr>
        <w:t xml:space="preserve">Ergebnis: </w:t>
      </w:r>
      <w:r>
        <w:t>Gesamtwirksamkeit 19,7 % (95%-KI 8,5–29,7). Die Schutzwirkung nahm über die Zeit seit Impfberechtigung ab, blieb aber auch nach drei Jahren deutlich vorhanden. Daten aus 14 Laboren mit geschätzter Abdeckung von 34,9 % der niederländischen Bevölkerung.</w:t>
      </w:r>
    </w:p>
    <w:p>
      <w:r>
        <w:rPr>
          <w:b/>
          <w:sz w:val="19"/>
        </w:rPr>
        <w:t xml:space="preserve">Übertragbarkeit: </w:t>
      </w:r>
      <w:r>
        <w:rPr>
          <w:sz w:val="19"/>
        </w:rPr>
        <w:t>Niederlande, vergleichbares Versicherungssystem und Laborregister</w:t>
      </w:r>
    </w:p>
    <w:p>
      <w:r>
        <w:rPr>
          <w:color w:val="5A7D3A"/>
          <w:sz w:val="18"/>
        </w:rPr>
        <w:t>https://pubmed.ncbi.nlm.nih.gov/42487216/</w:t>
      </w:r>
    </w:p>
    <w:p>
      <w:pPr>
        <w:pStyle w:val="Heading1"/>
      </w:pPr>
      <w:r>
        <w:t>Aufgenommen am 14.09.2026</w:t>
      </w:r>
    </w:p>
    <w:p>
      <w:pPr>
        <w:pStyle w:val="Heading2"/>
      </w:pPr>
      <w:r>
        <w:t>Impfkampagnen-Monitoring: Abweichungen zwischen Felderhebungen und Nachbarschafts-Umfragen</w:t>
      </w:r>
    </w:p>
    <w:p>
      <w:r>
        <w:rPr>
          <w:i/>
          <w:color w:val="666666"/>
          <w:sz w:val="18"/>
        </w:rPr>
        <w:t>Thakkar N  ·  Gates Open Res  ·  01.09.2026  ·  PMID 42732098</w:t>
      </w:r>
    </w:p>
    <w:p>
      <w:r>
        <w:t>Analyse von Impfteam-Tallies (tägliche Dokumentation Geimpfter) versus Post-Campaign Coverage Surveys (PCCS) in Kano-Kampagne 2023 (Masern, Nigeria) unter Verwendung von Capture-Recapture-Methoden.</w:t>
      </w:r>
    </w:p>
    <w:p>
      <w:r>
        <w:rPr>
          <w:b/>
        </w:rPr>
        <w:t xml:space="preserve">Ergebnis: </w:t>
      </w:r>
      <w:r>
        <w:t>Erhebliche Diskrepanzen zwischen Tally-basierten Recapture-Schätzungen und PCCS-Daten. Tally-Daten ermöglichen präzise, quasi-zeitgleiche Monitoring und hohe räumliche Auflösung. Verschiedene Verzerrungsmodelle erklären Abweichungen: Doppelzählungen, fehlende Dokumentation, Non-Response in PCCS. Tally-Sheets als unkonventionelle, aber nachvollziehbare Populationsstichprobe zur Echtzeitbewertung von Implementierungsqualität.</w:t>
      </w:r>
    </w:p>
    <w:p>
      <w:r>
        <w:rPr>
          <w:b/>
          <w:sz w:val="19"/>
        </w:rPr>
        <w:t xml:space="preserve">Übertragbarkeit: </w:t>
      </w:r>
      <w:r>
        <w:rPr>
          <w:sz w:val="19"/>
        </w:rPr>
        <w:t>Nigeria/Subsahara-Kontext, Methodik auf deutsche Kampagnen-Evaluation anwendbar, insbes. zur Echtzeit-Qualitätskontrolle.</w:t>
      </w:r>
    </w:p>
    <w:p>
      <w:r>
        <w:rPr>
          <w:color w:val="5A7D3A"/>
          <w:sz w:val="18"/>
        </w:rPr>
        <w:t>https://pubmed.ncbi.nlm.nih.gov/42732098/</w:t>
      </w:r>
    </w:p>
    <w:p>
      <w:pPr>
        <w:pStyle w:val="Heading2"/>
      </w:pPr>
      <w:r>
        <w:t>Verzögerte Impfungen: Globale Systeme erfassen Catch-up-Dosen unzureichend</w:t>
      </w:r>
    </w:p>
    <w:p>
      <w:r>
        <w:rPr>
          <w:i/>
          <w:color w:val="666666"/>
          <w:sz w:val="18"/>
        </w:rPr>
        <w:t>Danovaro-Holliday MC et al.  ·  Gates Open Res  ·  01.09.2026  ·  PMID 42732096</w:t>
      </w:r>
    </w:p>
    <w:p>
      <w:r>
        <w:t>Analyse von WHO/UNICEF-Daten aus 194 Ländern (2016–2022) zur Fähigkeit von Immunisierungssystemen, verzögerte (Catch-up-)Impfdosen zu dokumentieren und zu monitoren.</w:t>
      </w:r>
    </w:p>
    <w:p>
      <w:r>
        <w:rPr>
          <w:b/>
        </w:rPr>
        <w:t xml:space="preserve">Ergebnis: </w:t>
      </w:r>
      <w:r>
        <w:t>Nur 55,5–64,4 % der Länder verfügten über Systeme zur Erfassung verzögerter Dosen; in Amerika (AMR) 77,1–82,9 %. Median-Anteil verzögerter MCV1-Dosen: 4,4 %. Catch-up-Aktivitäten würden gemeldete Impfquoten um ca. 4 Prozentpunkte erhöhen. Erhebliche regionale Unterschiede je nach Einkommensstatus und Gavi-Teilnahme.</w:t>
      </w:r>
    </w:p>
    <w:p>
      <w:r>
        <w:rPr>
          <w:b/>
          <w:sz w:val="19"/>
        </w:rPr>
        <w:t xml:space="preserve">Übertragbarkeit: </w:t>
      </w:r>
      <w:r>
        <w:rPr>
          <w:sz w:val="19"/>
        </w:rPr>
        <w:t>Globale Systemanalyse, zeigt Schwächen in deutscher Impfdokumentation (Deutschland hat kein zentrales Impfregister).</w:t>
      </w:r>
    </w:p>
    <w:p>
      <w:r>
        <w:rPr>
          <w:color w:val="5A7D3A"/>
          <w:sz w:val="18"/>
        </w:rPr>
        <w:t>https://pubmed.ncbi.nlm.nih.gov/42732096/</w:t>
      </w:r>
    </w:p>
    <w:p>
      <w:pPr>
        <w:pStyle w:val="Heading2"/>
      </w:pPr>
      <w:r>
        <w:t>Masern als Messlatte: Warum Eradikation Impfsysteme stärkt</w:t>
      </w:r>
    </w:p>
    <w:p>
      <w:r>
        <w:rPr>
          <w:i/>
          <w:color w:val="666666"/>
          <w:sz w:val="18"/>
        </w:rPr>
        <w:t>Durrheim DN et al.  ·  Hum Vaccin Immunother  ·  12.09.2026  ·  PMID 42730634</w:t>
      </w:r>
    </w:p>
    <w:p>
      <w:r>
        <w:t>Perspektive zur strategischen Bedeutung von Masern-Eradikation als Katalysator für Aufbau stabiler Impfprogramme und Gesundheitssysteme, besonders im Kontext steigender Ausbrüche.</w:t>
      </w:r>
    </w:p>
    <w:p>
      <w:r>
        <w:rPr>
          <w:b/>
        </w:rPr>
        <w:t xml:space="preserve">Ergebnis: </w:t>
      </w:r>
      <w:r>
        <w:t>Masern-Eradikation erfordert und katalysiert Fähigkeiten, die auch grundlegend für resiliente Systeme sind: hohe Routineimpfquoten, sensitive Surveillance, qualitätsgesicherte Labornetzwerke, schnelle Ausbruchreaktion, Gemeinschaftsbeteiligung. Aktuelle Ausbrüche signalisieren Systemfragilitäten und bieten Gelegenheit zur Stärkung von Impfgerechtigkeit.</w:t>
      </w:r>
    </w:p>
    <w:p>
      <w:r>
        <w:rPr>
          <w:b/>
          <w:sz w:val="19"/>
        </w:rPr>
        <w:t xml:space="preserve">Übertragbarkeit: </w:t>
      </w:r>
      <w:r>
        <w:rPr>
          <w:sz w:val="19"/>
        </w:rPr>
        <w:t>Conceptual framework zur Systemstärkung, international anwendbar, besonders relevant für Länder mit Ausbrüchen.</w:t>
      </w:r>
    </w:p>
    <w:p>
      <w:r>
        <w:rPr>
          <w:color w:val="5A7D3A"/>
          <w:sz w:val="18"/>
        </w:rPr>
        <w:t>https://pubmed.ncbi.nlm.nih.gov/42730634/</w:t>
      </w:r>
    </w:p>
    <w:p>
      <w:pPr>
        <w:pStyle w:val="Heading2"/>
      </w:pPr>
      <w:r>
        <w:t>Sierra Leone: Von Impfstoff-Verfügbarkeit zur Bevölkerungsschutzung – Deployment Readiness</w:t>
      </w:r>
    </w:p>
    <w:p>
      <w:r>
        <w:rPr>
          <w:i/>
          <w:color w:val="666666"/>
          <w:sz w:val="18"/>
        </w:rPr>
        <w:t>Ikoona EN et al.  ·  Ann Glob Health  ·  07.09.2026  ·  PMID 42730077</w:t>
      </w:r>
    </w:p>
    <w:p>
      <w:r>
        <w:t>Vergleichende Analyse von Impfkampagnen-Implementierung in Sierra Leone (COVID-19 2021, Ebola 2024, Mpox 2025) zur Identifikation kritischer Faktoren zwischen Zulassung und Vakzinierungsbeginn.</w:t>
      </w:r>
    </w:p>
    <w:p>
      <w:r>
        <w:rPr>
          <w:b/>
        </w:rPr>
        <w:t xml:space="preserve">Ergebnis: </w:t>
      </w:r>
      <w:r>
        <w:t>COVID-19: 45 Tage von EMA-Zulassung bis Impfstart; 73,2–86,7 % Deckung in Zielgruppe. Ebola: 1.851 Tage bis Impfstart trotz globales Stockpile seit 2021. Mpox: 106 Tage nach Ausbruchbestätigung, 186.053 Personen erreicht. &gt;84 % der COVID-Dosen über Surge-Kampagnen. Produktverfügbarkeit allein unzureichend; nationale Aktivierung, Finanzierung und Anbindung an globale Vorgaben entscheidend.</w:t>
      </w:r>
    </w:p>
    <w:p>
      <w:r>
        <w:rPr>
          <w:b/>
          <w:sz w:val="19"/>
        </w:rPr>
        <w:t xml:space="preserve">Übertragbarkeit: </w:t>
      </w:r>
      <w:r>
        <w:rPr>
          <w:sz w:val="19"/>
        </w:rPr>
        <w:t>Niedrig-/mitteleinkommiges Land (WHO-EMRO), Implementierungs-Framework transferierbar auf deutsche Krise-Impf-Vorbereitung.</w:t>
      </w:r>
    </w:p>
    <w:p>
      <w:r>
        <w:rPr>
          <w:color w:val="5A7D3A"/>
          <w:sz w:val="18"/>
        </w:rPr>
        <w:t>https://pubmed.ncbi.nlm.nih.gov/42730077/</w:t>
      </w:r>
    </w:p>
    <w:p>
      <w:pPr>
        <w:pStyle w:val="Heading2"/>
      </w:pPr>
      <w:r>
        <w:t>Norovirus-Impfung in England: Kostenwirksam durch Vermeidung von Nierenschäden</w:t>
      </w:r>
    </w:p>
    <w:p>
      <w:r>
        <w:rPr>
          <w:i/>
          <w:color w:val="666666"/>
          <w:sz w:val="18"/>
        </w:rPr>
        <w:t>Bolt H et al.  ·  Epidemics  ·  28.07.2026  ·  PMID 42537313</w:t>
      </w:r>
    </w:p>
    <w:p>
      <w:r>
        <w:t>Modellierung der gesundheitsökonomischen Effekte einer Norovirus-Impfung in England, die Akutnierenschäden als Spätfolge berücksichtigt.</w:t>
      </w:r>
    </w:p>
    <w:p>
      <w:r>
        <w:rPr>
          <w:b/>
        </w:rPr>
        <w:t xml:space="preserve">Ergebnis: </w:t>
      </w:r>
      <w:r>
        <w:t>Kombinierte Impfstrategie für Kinder und Ältere reduzierte symptomatische Infektionen um 64–66 %. Mit akuten Nierenschäden war eine Impfstoffeffektivität von 35 % noch kosteneffektiv (Schwellenwert: £ 20.000 pro QALY). Ohne Berücksichtigung der Nierenschäden war keine Strategie kosteneffektiv.</w:t>
      </w:r>
    </w:p>
    <w:p>
      <w:r>
        <w:rPr>
          <w:b/>
          <w:sz w:val="19"/>
        </w:rPr>
        <w:t xml:space="preserve">Übertragbarkeit: </w:t>
      </w:r>
      <w:r>
        <w:rPr>
          <w:sz w:val="19"/>
        </w:rPr>
        <w:t>Englisches Versorgungssystem, vergleichbar mit deutschen Health Economics-Evaluationen.</w:t>
      </w:r>
    </w:p>
    <w:p>
      <w:r>
        <w:rPr>
          <w:color w:val="5A7D3A"/>
          <w:sz w:val="18"/>
        </w:rPr>
        <w:t>https://pubmed.ncbi.nlm.nih.gov/42537313/</w:t>
      </w:r>
    </w:p>
    <w:p>
      <w:pPr>
        <w:pStyle w:val="Heading2"/>
      </w:pPr>
      <w:r>
        <w:t>Viruslast-Dynamik und Varianten: Was Frankreichs Routinetests über Impfschutz verraten</w:t>
      </w:r>
    </w:p>
    <w:p>
      <w:r>
        <w:rPr>
          <w:i/>
          <w:color w:val="666666"/>
          <w:sz w:val="18"/>
        </w:rPr>
        <w:t>Beaulieu M et al.  ·  PLoS Comput Biol  ·  27.07.2026  ·  PMID 42507756</w:t>
      </w:r>
    </w:p>
    <w:p>
      <w:r>
        <w:t>Analysen von 322.218 PCR-Tests aus Frankreich 2021–2022 zur Erfassung der Viraldy­namik unter verschiedenen Varianten und Impfstatus bei symptomatic infection.</w:t>
      </w:r>
    </w:p>
    <w:p>
      <w:r>
        <w:rPr>
          <w:b/>
        </w:rPr>
        <w:t xml:space="preserve">Ergebnis: </w:t>
      </w:r>
      <w:r>
        <w:t>Alter ≥ 65 Jahre: längere Clearance-Zeit um 2–6 Tage. Geimpfte Personen: 2–4 Tage kürzere Clearance. Omicron: um 2–3 Ct niedrigere Peakviruslast und um 1–2 Tage kürzere Clearance als Delta. Gemeinschafts-PCR-Testdaten ermöglichen robuste Virusdynamik-Schätzungen.</w:t>
      </w:r>
    </w:p>
    <w:p>
      <w:r>
        <w:rPr>
          <w:b/>
          <w:sz w:val="19"/>
        </w:rPr>
        <w:t xml:space="preserve">Übertragbarkeit: </w:t>
      </w:r>
      <w:r>
        <w:rPr>
          <w:sz w:val="19"/>
        </w:rPr>
        <w:t>Frankreich, ähnliche Surveillance-Infrastruktur wie Deutschland, Methode auf deutsche Testdaten übertragbar.</w:t>
      </w:r>
    </w:p>
    <w:p>
      <w:r>
        <w:rPr>
          <w:color w:val="5A7D3A"/>
          <w:sz w:val="18"/>
        </w:rPr>
        <w:t>https://pubmed.ncbi.nlm.nih.gov/42507756/</w:t>
      </w:r>
    </w:p>
    <w:p>
      <w:pPr>
        <w:pStyle w:val="Heading1"/>
      </w:pPr>
      <w:r>
        <w:t>Aufgenommen am 13.09.2026</w:t>
      </w:r>
    </w:p>
    <w:p>
      <w:pPr>
        <w:pStyle w:val="Heading2"/>
      </w:pPr>
      <w:r>
        <w:t>Impflücken in Peru: Wissen und Angst beeinflussen Impfvollständigkeit bei Kindern</w:t>
      </w:r>
    </w:p>
    <w:p>
      <w:r>
        <w:rPr>
          <w:i/>
          <w:color w:val="666666"/>
          <w:sz w:val="18"/>
        </w:rPr>
        <w:t>Castro-Fuentes MN et al.  ·  Front Public Health  ·  26.08.2026  ·  PMID 42718735</w:t>
      </w:r>
    </w:p>
    <w:p>
      <w:r>
        <w:t>Querschnittsstudie bei 123 Familien in Sunampe, Peru: Assoziationen zwischen Impflücken bei Kindern unter fünf Jahren und mütterlichen Wahrnehmungen, Wissen und Angst.</w:t>
      </w:r>
    </w:p>
    <w:p>
      <w:r>
        <w:rPr>
          <w:b/>
        </w:rPr>
        <w:t xml:space="preserve">Ergebnis: </w:t>
      </w:r>
      <w:r>
        <w:t>Impfverweigerung (≥3 verpasste Schlüsseldosen bis 6 Monate): signifikante Prädiktoren waren Mangel an Wissen über Impfalter (OR: 10,96; p &lt; 0,001) und Nichtbesuch von Impfberatungssitzungen (OR: 3,32; p = 0,026). Angst vor Nebenwirkungen (99,2 % der Mütter berichteten sie) war nicht signifikant (Hinweis auf Antwortverzerrung). Modell: AUC = 0,852. Todesfälle unter 5 Jahren (2017–2022): 10 Fälle, davon 6 pneumokokkal-assoziierten.</w:t>
      </w:r>
    </w:p>
    <w:p>
      <w:r>
        <w:rPr>
          <w:b/>
          <w:sz w:val="19"/>
        </w:rPr>
        <w:t xml:space="preserve">Übertragbarkeit: </w:t>
      </w:r>
      <w:r>
        <w:rPr>
          <w:sz w:val="19"/>
        </w:rPr>
        <w:t>Peru – Befund zu Wissenslücken und Impfpfaden in untermotivierter Bevölkerung auf Deutschland nicht direkt übertragbar, aber qualitativ relevant für Migrationsgruppen</w:t>
      </w:r>
    </w:p>
    <w:p>
      <w:r>
        <w:rPr>
          <w:color w:val="5A7D3A"/>
          <w:sz w:val="18"/>
        </w:rPr>
        <w:t>https://pubmed.ncbi.nlm.nih.gov/42718735/</w:t>
      </w:r>
    </w:p>
    <w:p>
      <w:pPr>
        <w:pStyle w:val="Heading2"/>
      </w:pPr>
      <w:r>
        <w:t>Pneumokokkencolonisierung bei Kindern in Brasilien: Begrenzte Abdeckung durch PCV10</w:t>
      </w:r>
    </w:p>
    <w:p>
      <w:r>
        <w:rPr>
          <w:i/>
          <w:color w:val="666666"/>
          <w:sz w:val="18"/>
        </w:rPr>
        <w:t>Sousa IO et al.  ·  PLoS One  ·  09.09.2026  ·  PMID 42715187</w:t>
      </w:r>
    </w:p>
    <w:p>
      <w:r>
        <w:t>Querschnittstudie bei 400 Kindern (2–5 Jahre) in Salvador, Brasilien: Nasopharyngale Besiedlung mit Streptococcus pneumoniae und Serotypverteilung nach PCV10-GSK-Impfung im brasilianischen Routineprogramm.</w:t>
      </w:r>
    </w:p>
    <w:p>
      <w:r>
        <w:rPr>
          <w:b/>
        </w:rPr>
        <w:t xml:space="preserve">Ergebnis: </w:t>
      </w:r>
      <w:r>
        <w:t>Gesamtbesiedlungsrate: 39,5 %. Häufigste Serotypen: 6C (17,9 %), 19A (13,0 %), 11A (9,3 %). PCV10-GSK deckt nur 3,2 % der Serotypen ab; PCV20 würde 39,5 % abdecken. Penicillinresistenz in 21,8 % der Isolate, am höchsten bei 19A (71,4 %). Befund zeigt Impflücke bei nicht-PCV10-Serotypen trotz Impfung.</w:t>
      </w:r>
    </w:p>
    <w:p>
      <w:r>
        <w:rPr>
          <w:b/>
          <w:sz w:val="19"/>
        </w:rPr>
        <w:t xml:space="preserve">Übertragbarkeit: </w:t>
      </w:r>
      <w:r>
        <w:rPr>
          <w:sz w:val="19"/>
        </w:rPr>
        <w:t>Brasilien – Befund zur Serotyp-Abdeckung und Resistenzentwicklung unter Feldimpfung ist grundlegend übertragbar</w:t>
      </w:r>
    </w:p>
    <w:p>
      <w:r>
        <w:rPr>
          <w:color w:val="5A7D3A"/>
          <w:sz w:val="18"/>
        </w:rPr>
        <w:t>https://pubmed.ncbi.nlm.nih.gov/42715187/</w:t>
      </w:r>
    </w:p>
    <w:p>
      <w:pPr>
        <w:pStyle w:val="Heading2"/>
      </w:pPr>
      <w:r>
        <w:t>Pneumococcale Impfung (PCV21) verhindert invasive Erkrankungen bei Erwachsenen in Spanien</w:t>
      </w:r>
    </w:p>
    <w:p>
      <w:r>
        <w:rPr>
          <w:i/>
          <w:color w:val="666666"/>
          <w:sz w:val="18"/>
        </w:rPr>
        <w:t>Simuzingili M et al.  ·  Vaccine  ·  03.10.2026  ·  PMID 42669238</w:t>
      </w:r>
    </w:p>
    <w:p>
      <w:r>
        <w:t>Gesundheitsökonomische Modellstudie in Spanien: Der 21-valente pneumokokkale Konjugatimpfstoff (PCV21) wurde mit PCV20 verglichen hinsichtlich verhinderte IPD-Fälle und vermiedene Kosten.</w:t>
      </w:r>
    </w:p>
    <w:p>
      <w:r>
        <w:rPr>
          <w:b/>
        </w:rPr>
        <w:t xml:space="preserve">Ergebnis: </w:t>
      </w:r>
      <w:r>
        <w:t>Bei 45–64-jährigen: PCV21 verhindert 178 IPD-Fälle mehr und 20 Todesfälle mehr als PCV20; spart 0,7 Mio. EUR (10% Mehrersparnis). Bei ≥65-Jährigen: 2019 IPD-Fälle und 435 Todesfälle mehr verhindert; spart 257 Mio. EUR (25% Mehrersparnis). Beide Altersgruppen: PCV21 war in allen Szenarien kostenwirksam.</w:t>
      </w:r>
    </w:p>
    <w:p>
      <w:r>
        <w:rPr>
          <w:b/>
          <w:sz w:val="19"/>
        </w:rPr>
        <w:t xml:space="preserve">Übertragbarkeit: </w:t>
      </w:r>
      <w:r>
        <w:rPr>
          <w:sz w:val="19"/>
        </w:rPr>
        <w:t>Spanien, vergleichbares Versicherungssystem und Epidemiologie wie Deutschland</w:t>
      </w:r>
    </w:p>
    <w:p>
      <w:r>
        <w:rPr>
          <w:color w:val="5A7D3A"/>
          <w:sz w:val="18"/>
        </w:rPr>
        <w:t>https://pubmed.ncbi.nlm.nih.gov/42669238/</w:t>
      </w:r>
    </w:p>
    <w:p>
      <w:pPr>
        <w:pStyle w:val="Heading2"/>
      </w:pPr>
      <w:r>
        <w:t>RSV-Impfung für Neugeborene in Japan: Saisonale vs. ganzjährige Strategie</w:t>
      </w:r>
    </w:p>
    <w:p>
      <w:r>
        <w:rPr>
          <w:i/>
          <w:color w:val="666666"/>
          <w:sz w:val="18"/>
        </w:rPr>
        <w:t>Monoi A et al.  ·  Vaccine  ·  03.10.2026  ·  PMID 42648051</w:t>
      </w:r>
    </w:p>
    <w:p>
      <w:r>
        <w:t>Modellstudie: Vergleich saisonaler und ganzjähriger RSV-Immunisierung von Neugeborenen zur Prävention von Krankenhausaufenthalten.</w:t>
      </w:r>
    </w:p>
    <w:p>
      <w:r>
        <w:rPr>
          <w:b/>
        </w:rPr>
        <w:t xml:space="preserve">Ergebnis: </w:t>
      </w:r>
      <w:r>
        <w:t>Ganzjährige RSVpreF-Impfung: 46 % Reduktion der RSV-Hospitalisierungen (95% UR: 31–65%). Ganzjährig Nirsevimab: 58 % Reduktion (95% UR: 39–79%). Saisonale Programme: bei zeitgerechter Durchführung 56–61 % Reduktion. Effekt stark abhängig von Saisonalitätsprädiktion und logistischen Kapazitäten.</w:t>
      </w:r>
    </w:p>
    <w:p>
      <w:r>
        <w:rPr>
          <w:b/>
          <w:sz w:val="19"/>
        </w:rPr>
        <w:t xml:space="preserve">Übertragbarkeit: </w:t>
      </w:r>
      <w:r>
        <w:rPr>
          <w:sz w:val="19"/>
        </w:rPr>
        <w:t>Japan, anderer Kontext – Befund zur Saisonalität und Impfstoffhaltbarkeit aber grundsätzlich übertragbar</w:t>
      </w:r>
    </w:p>
    <w:p>
      <w:r>
        <w:rPr>
          <w:color w:val="5A7D3A"/>
          <w:sz w:val="18"/>
        </w:rPr>
        <w:t>https://pubmed.ncbi.nlm.nih.gov/42648051/</w:t>
      </w:r>
    </w:p>
    <w:p>
      <w:pPr>
        <w:pStyle w:val="Heading2"/>
      </w:pPr>
      <w:r>
        <w:t>Pneumokokken-Impfung bei Erwachsenen mit Diabetes: Verzögerte Aufnahme in Versorgung</w:t>
      </w:r>
    </w:p>
    <w:p>
      <w:r>
        <w:rPr>
          <w:i/>
          <w:color w:val="666666"/>
          <w:sz w:val="18"/>
        </w:rPr>
        <w:t>Lenzi J et al.  ·  Vaccine  ·  03.10.2026  ·  PMID 42612465</w:t>
      </w:r>
    </w:p>
    <w:p>
      <w:r>
        <w:t>Populationsbasierte Kohortenstudie in Romagna (Italien) mit administrativen Daten: Zeitliche Muster und verpasste Impfgelegenheiten der Pneumokokken-Impfung bei Diabetikern über sieben Jahre.</w:t>
      </w:r>
    </w:p>
    <w:p>
      <w:r>
        <w:rPr>
          <w:b/>
        </w:rPr>
        <w:t xml:space="preserve">Ergebnis: </w:t>
      </w:r>
      <w:r>
        <w:t>Durchimpfungsquote stieg von 7,2 % (Jan. 2017) auf 28,0 % (Juni 2024), blieb aber deutlich unter 30 %. In der Inzidenzkohorte: 4,4 % Impfung nach 1 Jahr, 12,6 % nach 3 Jahren, 34,8 % nach 7 Jahren – kein markanter Anstieg unmittelbar nach Diagnose. Fremdländerisches Herkunftsland assoziiiert mit deutlich niedrigerer Aufnahme (OR: 0,52). Muster deutet auf mangelnde Integration in Diabetes-Versorgungspfade hin.</w:t>
      </w:r>
    </w:p>
    <w:p>
      <w:r>
        <w:rPr>
          <w:b/>
          <w:sz w:val="19"/>
        </w:rPr>
        <w:t xml:space="preserve">Übertragbarkeit: </w:t>
      </w:r>
      <w:r>
        <w:rPr>
          <w:sz w:val="19"/>
        </w:rPr>
        <w:t>Italien, ähnliches Versicherungssystem; Befund zu Versorgungsintegration auf Deutschland übertragbar</w:t>
      </w:r>
    </w:p>
    <w:p>
      <w:r>
        <w:rPr>
          <w:color w:val="5A7D3A"/>
          <w:sz w:val="18"/>
        </w:rPr>
        <w:t>https://pubmed.ncbi.nlm.nih.gov/42612465/</w:t>
      </w:r>
    </w:p>
    <w:p>
      <w:pPr>
        <w:pStyle w:val="Heading2"/>
      </w:pPr>
      <w:r>
        <w:t>Sicherheit der Lebendimpfstoff-Influenzaimpfung in England: Acht Jahre Pharmakovigilanz</w:t>
      </w:r>
    </w:p>
    <w:p>
      <w:r>
        <w:rPr>
          <w:i/>
          <w:color w:val="666666"/>
          <w:sz w:val="18"/>
        </w:rPr>
        <w:t>Dhanda S et al.  ·  Vaccine  ·  03.10.2026  ·  PMID 42607627</w:t>
      </w:r>
    </w:p>
    <w:p>
      <w:r>
        <w:t>Verbesserte passive Sicherheitsüberwachung (EPSS) des intranasalen Lebendimpfstoffs Fluenz® Tetra bei Kindern über acht Grippesaisons in England, mit Sicherheitsberichtskarten in 38–49 Praxen und 25–50 Schulen pro Saison.</w:t>
      </w:r>
    </w:p>
    <w:p>
      <w:r>
        <w:rPr>
          <w:b/>
        </w:rPr>
        <w:t xml:space="preserve">Ergebnis: </w:t>
      </w:r>
      <w:r>
        <w:t>8753–17.922 Sicherheitsberichtskarten ausgegeben jährlich. Rücklaufquoten: 2015/2016: 1,9 %, sinkend auf 2022/2023: 0,4 %. Rhinorrhö am häufigsten gemeldet (0,1–0,6 %). Schwerwiegende unerwünschte Ereignisse selten. Befund unterstützt positives Nutzen-Risiko-Profil über alle acht Saisons.</w:t>
      </w:r>
    </w:p>
    <w:p>
      <w:r>
        <w:rPr>
          <w:b/>
          <w:sz w:val="19"/>
        </w:rPr>
        <w:t xml:space="preserve">Übertragbarkeit: </w:t>
      </w:r>
      <w:r>
        <w:rPr>
          <w:sz w:val="19"/>
        </w:rPr>
        <w:t>Großbritannien, vergleichbare Versorgungsinfrastruktur und Pharmakovigilanz-Standards</w:t>
      </w:r>
    </w:p>
    <w:p>
      <w:r>
        <w:rPr>
          <w:color w:val="5A7D3A"/>
          <w:sz w:val="18"/>
        </w:rPr>
        <w:t>https://pubmed.ncbi.nlm.nih.gov/42607627/</w:t>
      </w:r>
    </w:p>
    <w:p>
      <w:pPr>
        <w:pStyle w:val="Heading1"/>
      </w:pPr>
      <w:r>
        <w:t>Aufgenommen am 12.09.2026</w:t>
      </w:r>
    </w:p>
    <w:p>
      <w:pPr>
        <w:pStyle w:val="Heading2"/>
      </w:pPr>
      <w:r>
        <w:t>COVID-19-Sterblichkeit nach Einkommen: Vorbefunde schlagen Impfung um Faktor 3–5</w:t>
      </w:r>
    </w:p>
    <w:p>
      <w:r>
        <w:rPr>
          <w:i/>
          <w:color w:val="666666"/>
          <w:sz w:val="18"/>
        </w:rPr>
        <w:t>Milkovska E et al.  ·  Int J Epidemiol  ·  18.08.2026  ·  PMID 42727089</w:t>
      </w:r>
    </w:p>
    <w:p>
      <w:r>
        <w:t>Analyse niederländischer Administrativdaten (n = 6.619.699) zur Frage, inwieweit unterschiedliche Vorerkrankungen und Impfquoten die Sterblichkeitsungleichheit nach Einkommen im Jahr 2021 erklären.</w:t>
      </w:r>
    </w:p>
    <w:p>
      <w:r>
        <w:rPr>
          <w:b/>
        </w:rPr>
        <w:t xml:space="preserve">Ergebnis: </w:t>
      </w:r>
      <w:r>
        <w:t>Ärmstes Einkommensfünftel starb 3-mal häufiger an COVID-19 als reichstes. Unterschiede in Vorerkrankungen erklärten 46–67 % der Ungleichheit, Unterschiede in Impfquoten nur 14–19 %. Soziale Determinanten der Gesundheit waren das Haupttreiber.</w:t>
      </w:r>
    </w:p>
    <w:p>
      <w:r>
        <w:rPr>
          <w:b/>
          <w:sz w:val="19"/>
        </w:rPr>
        <w:t xml:space="preserve">Übertragbarkeit: </w:t>
      </w:r>
      <w:r>
        <w:rPr>
          <w:sz w:val="19"/>
        </w:rPr>
        <w:t>Niederländische Administrativdaten mit vergleichbarem Versicherungssystem zu Deutschland</w:t>
      </w:r>
    </w:p>
    <w:p>
      <w:r>
        <w:rPr>
          <w:color w:val="5A7D3A"/>
          <w:sz w:val="18"/>
        </w:rPr>
        <w:t>https://pubmed.ncbi.nlm.nih.gov/42727089/</w:t>
      </w:r>
    </w:p>
    <w:p>
      <w:pPr>
        <w:pStyle w:val="Heading2"/>
      </w:pPr>
      <w:r>
        <w:t>Mütterliche RSV-Impfung reduziert Bronchiolitis-Krankenhauseinweisungen bei Säuglingen um 62 %</w:t>
      </w:r>
    </w:p>
    <w:p>
      <w:r>
        <w:rPr>
          <w:i/>
          <w:color w:val="666666"/>
          <w:sz w:val="18"/>
        </w:rPr>
        <w:t>Broad J et al.  ·  Euro Surveill  ·  Sept. 2026  ·  PMID 42725370</w:t>
      </w:r>
    </w:p>
    <w:p>
      <w:r>
        <w:t>Zeitreihenanalyse zu Auswirkungen der mütterlichen RSV-Impfung auf Hospitalisierungen von Säuglingen unter 3 Monaten in England von September 2024 bis März 2026.</w:t>
      </w:r>
    </w:p>
    <w:p>
      <w:r>
        <w:rPr>
          <w:b/>
        </w:rPr>
        <w:t xml:space="preserve">Ergebnis: </w:t>
      </w:r>
      <w:r>
        <w:t>RSV-Bronchiolitis-Krankenhauseinweisungen sanken um 62,6 % (IRR 0,374; 95%-KI: 0,344–0,407), Bronchiolitis insgesamt um 39,3 %. Bei Impfquote von 55,1 % reduzierten sich Aufnahmen auf Intensivstationen um 41,0 %. Ein bedeutender Schutzeffekt unter realen Versorgungsbedingungen.</w:t>
      </w:r>
    </w:p>
    <w:p>
      <w:r>
        <w:rPr>
          <w:b/>
          <w:sz w:val="19"/>
        </w:rPr>
        <w:t xml:space="preserve">Übertragbarkeit: </w:t>
      </w:r>
      <w:r>
        <w:rPr>
          <w:sz w:val="19"/>
        </w:rPr>
        <w:t>England mit Impfregister; Datenverfügbarkeit ähnlich wie in Skandinavien, nicht Deutschland</w:t>
      </w:r>
    </w:p>
    <w:p>
      <w:r>
        <w:rPr>
          <w:color w:val="5A7D3A"/>
          <w:sz w:val="18"/>
        </w:rPr>
        <w:t>https://pubmed.ncbi.nlm.nih.gov/42725370/</w:t>
      </w:r>
    </w:p>
    <w:p>
      <w:pPr>
        <w:pStyle w:val="Heading2"/>
      </w:pPr>
      <w:r>
        <w:t>Impfskepsis in Pakistan: Datenschutzmethoden zeigen Underreporting bei sensiblen Fragen</w:t>
      </w:r>
    </w:p>
    <w:p>
      <w:r>
        <w:rPr>
          <w:i/>
          <w:color w:val="666666"/>
          <w:sz w:val="18"/>
        </w:rPr>
        <w:t>Shahid MI et al.  ·  Front Public Health  ·  27.08.2026  ·  PMID 42723770</w:t>
      </w:r>
    </w:p>
    <w:p>
      <w:r>
        <w:t>Querschnittsstudie mit 1.200 Teilnehmern in Punjab, Pakistan (Juni–August 2021), die Underreporting von COVID-19-Fällen und Impfskepsis mit privacy-wahrenden randomisierten Antworttechniken misst.</w:t>
      </w:r>
    </w:p>
    <w:p>
      <w:r>
        <w:rPr>
          <w:b/>
        </w:rPr>
        <w:t xml:space="preserve">Ergebnis: </w:t>
      </w:r>
      <w:r>
        <w:t>Direkt berichtete COVID-19-Fälle (städtisch 10,5 %, ländlich 13,7 %) lagen unter datenschutzgeschützten Schätzungen (städtisch 15,3–17,4 %, ländlich 16,7–19,5 %). Impfskepsis-Underreporting kleiner (26,3 % vs. 27,2–27,4 %). PRE &gt;100, bessere Effizienz als Benchmark-Modelle. Privacy-Methoden reduzieren Verzerrung bei sensiblen Outcomes.</w:t>
      </w:r>
    </w:p>
    <w:p>
      <w:r>
        <w:rPr>
          <w:b/>
          <w:sz w:val="19"/>
        </w:rPr>
        <w:t xml:space="preserve">Übertragbarkeit: </w:t>
      </w:r>
      <w:r>
        <w:rPr>
          <w:sz w:val="19"/>
        </w:rPr>
        <w:t>Pakistan, Niedrig-Ressourcen-Setting; Methode zur Verbesserung der Surveillancequalität in Ländern mit schwacher Dokumentation</w:t>
      </w:r>
    </w:p>
    <w:p>
      <w:r>
        <w:rPr>
          <w:color w:val="5A7D3A"/>
          <w:sz w:val="18"/>
        </w:rPr>
        <w:t>https://pubmed.ncbi.nlm.nih.gov/42723770/</w:t>
      </w:r>
    </w:p>
    <w:p>
      <w:pPr>
        <w:pStyle w:val="Heading2"/>
      </w:pPr>
      <w:r>
        <w:t>PCV21-Pneumokokken-Impfung für Risikopatienten 18–64 Jahre in der Schweiz kosteneffektiv</w:t>
      </w:r>
    </w:p>
    <w:p>
      <w:r>
        <w:rPr>
          <w:i/>
          <w:color w:val="666666"/>
          <w:sz w:val="18"/>
        </w:rPr>
        <w:t>Simuzingili M et al.  ·  J Med Econ  ·  10.09.2026  ·  PMID 42723339</w:t>
      </w:r>
    </w:p>
    <w:p>
      <w:r>
        <w:t>Markov-Modell zur Kosten-Effektivität einer PCV21-Impfung für Hochrisiko- und Risiko-Patienten (18–64 Jahre) in der Schweiz mit lebenslanger Perspektive.</w:t>
      </w:r>
    </w:p>
    <w:p>
      <w:r>
        <w:rPr>
          <w:b/>
        </w:rPr>
        <w:t xml:space="preserve">Ergebnis: </w:t>
      </w:r>
      <w:r>
        <w:t>Bei 60-prozentiger Impfquote wurden 518 Fälle invasiver Pneumokokkenerkrankung, 224 Todesfälle und 2.578 ambulant behandelte Pneumonien verhindert. Impfkosten (CHF 39,0 Mio.) überwogen Einsparungen (CHF 21,4 Mio.) um Netto-CHF 17,6 Mio. ICER: CHF 7.665/QALY (kosteneffektiv ab CHF 18.000/QALY-Schwelle). In Sensitivitätsanalyse 100 % Wahrscheinlichkeit Kosteneffektivität.</w:t>
      </w:r>
    </w:p>
    <w:p>
      <w:r>
        <w:rPr>
          <w:b/>
          <w:sz w:val="19"/>
        </w:rPr>
        <w:t xml:space="preserve">Übertragbarkeit: </w:t>
      </w:r>
      <w:r>
        <w:rPr>
          <w:sz w:val="19"/>
        </w:rPr>
        <w:t>Schweizer Gesundheitssystem; Kosten- und Nutzenstruktur ähnlich dem deutschen</w:t>
      </w:r>
    </w:p>
    <w:p>
      <w:r>
        <w:rPr>
          <w:color w:val="5A7D3A"/>
          <w:sz w:val="18"/>
        </w:rPr>
        <w:t>https://pubmed.ncbi.nlm.nih.gov/42723339/</w:t>
      </w:r>
    </w:p>
    <w:p>
      <w:pPr>
        <w:pStyle w:val="Heading2"/>
      </w:pPr>
      <w:r>
        <w:t>RSVpreF-Impfung in Frankreich: Empfohlene Strategie verhindert 7.620 Hospitalisierungen, kostengünstig</w:t>
      </w:r>
    </w:p>
    <w:p>
      <w:r>
        <w:rPr>
          <w:i/>
          <w:color w:val="666666"/>
          <w:sz w:val="18"/>
        </w:rPr>
        <w:t>Fahfouhi Y et al.  ·  Vaccine  ·  03.10.2026  ·  PMID 42628195</w:t>
      </w:r>
    </w:p>
    <w:p>
      <w:r>
        <w:t>Markov-Modell zur Gesundheits- und Kostenfolgen von vier nationalen RSVpreF-Impfstrategien für schwangere Frauen in Frankreich unter Verwendung von Daten zu 627.499 Geburten pro Jahr.</w:t>
      </w:r>
    </w:p>
    <w:p>
      <w:r>
        <w:rPr>
          <w:b/>
        </w:rPr>
        <w:t xml:space="preserve">Ergebnis: </w:t>
      </w:r>
      <w:r>
        <w:t>Ohne Impfung: 38.625 RSV-Hospitalisierungen pro Jahr (Kosten €120,0 Mio.). Empfohlene Strategie (Sept.–Jan.) verhinderte 7.620 Hospitalisierungen (−19,7 %), Kosten €126,4 Mio., €844/Hospitalisierung verhindert, NNV 21. Erweiterte Strategie (Mai–Jan.) zusätzlich 4.111 Fälle vermieden (−13,3 % zusätzlich), erhöhte Gesamtkosten auf €134,4 Mio. (+6,3 %).</w:t>
      </w:r>
    </w:p>
    <w:p>
      <w:r>
        <w:rPr>
          <w:b/>
          <w:sz w:val="19"/>
        </w:rPr>
        <w:t xml:space="preserve">Übertragbarkeit: </w:t>
      </w:r>
      <w:r>
        <w:rPr>
          <w:sz w:val="19"/>
        </w:rPr>
        <w:t>Frankreich, europäisches Versicherungssystem; Nationale Impfkalender und Gesundheitsvergütung vergleichbar</w:t>
      </w:r>
    </w:p>
    <w:p>
      <w:r>
        <w:rPr>
          <w:color w:val="5A7D3A"/>
          <w:sz w:val="18"/>
        </w:rPr>
        <w:t>https://pubmed.ncbi.nlm.nih.gov/42628195/</w:t>
      </w:r>
    </w:p>
    <w:p>
      <w:pPr>
        <w:pStyle w:val="Heading2"/>
      </w:pPr>
      <w:r>
        <w:t>HPV-Impfquote in Europa: 55–60 % im Jahr 5, Schulprogramme und Arztdichte entscheidend</w:t>
      </w:r>
    </w:p>
    <w:p>
      <w:r>
        <w:rPr>
          <w:i/>
          <w:color w:val="666666"/>
          <w:sz w:val="18"/>
        </w:rPr>
        <w:t>Pavia G et al.  ·  Vaccine  ·  03.10.2026  ·  PMID 42623713</w:t>
      </w:r>
    </w:p>
    <w:p>
      <w:r>
        <w:t>Längsschnittstudie über Impfquoten bei 15-jährigen Mädchen in 43 europäischen Ländern 2010–2023, mit Analyse von Prädiktoren und Assoziation mit Google-Suchvolumen.</w:t>
      </w:r>
    </w:p>
    <w:p>
      <w:r>
        <w:rPr>
          <w:b/>
        </w:rPr>
        <w:t xml:space="preserve">Ergebnis: </w:t>
      </w:r>
      <w:r>
        <w:t>Impfquote stieg nach Aufnahme ins nationale Programm auf ~40 % im Jahr 2 , stabilisierte sich bei 55–60 % im Jahr 5. Über 60 % in den meisten Ländern erreicht. Schulprogramme boten schnellere Kurven. Ärztedichte und niedrige öffentliche Skepsis waren signifikante Prädiktoren. WHO-Ziel von 90 % verfehlt.</w:t>
      </w:r>
    </w:p>
    <w:p>
      <w:r>
        <w:rPr>
          <w:b/>
          <w:sz w:val="19"/>
        </w:rPr>
        <w:t xml:space="preserve">Übertragbarkeit: </w:t>
      </w:r>
      <w:r>
        <w:rPr>
          <w:sz w:val="19"/>
        </w:rPr>
        <w:t>Europäische Länder, vergleichbare Systeme; Datenqualität variiert stark (kein deutsches Impfregister)</w:t>
      </w:r>
    </w:p>
    <w:p>
      <w:r>
        <w:rPr>
          <w:color w:val="5A7D3A"/>
          <w:sz w:val="18"/>
        </w:rPr>
        <w:t>https://pubmed.ncbi.nlm.nih.gov/42623713/</w:t>
      </w:r>
    </w:p>
    <w:p>
      <w:pPr>
        <w:pStyle w:val="Heading2"/>
      </w:pPr>
      <w:r>
        <w:t>Diphtherie in der Schweiz 1877–2022: Impfprogramme brachen Epidemie-Wellen</w:t>
      </w:r>
    </w:p>
    <w:p>
      <w:r>
        <w:rPr>
          <w:i/>
          <w:color w:val="666666"/>
          <w:sz w:val="18"/>
        </w:rPr>
        <w:t>Tuor SM et al.  ·  Vaccine  ·  03.10.2026  ·  PMID 42623711</w:t>
      </w:r>
    </w:p>
    <w:p>
      <w:r>
        <w:t>Historische Zeitreihenanalyse der Diphtherie-Morbidität und -Mortalität in der Schweiz über 145 Jahre, mit Bayesianischen Modellen zur Quantifizierung des Impfeffekts ab 1933.</w:t>
      </w:r>
    </w:p>
    <w:p>
      <w:r>
        <w:rPr>
          <w:b/>
        </w:rPr>
        <w:t xml:space="preserve">Ergebnis: </w:t>
      </w:r>
      <w:r>
        <w:t>Von 35.271 Diphtherietodesfällen (1877–2022) starben 99,5 % vor flächendeckender Impfung. Nach Einführung zwingender Impfung in Genf (1933) lagen Inzidenz und Mortalität konsistent unter gemodellten Gegenszenarios. Nach landesweiter Empfehlung (1943) sank Diphtherie schnell in allen Kantonen, aber früher und stärker in Kantonen mit Impfpflicht.</w:t>
      </w:r>
    </w:p>
    <w:p>
      <w:r>
        <w:rPr>
          <w:b/>
          <w:sz w:val="19"/>
        </w:rPr>
        <w:t xml:space="preserve">Übertragbarkeit: </w:t>
      </w:r>
      <w:r>
        <w:rPr>
          <w:sz w:val="19"/>
        </w:rPr>
        <w:t>Schweizer Klinik- und Todesursachendaten; DACH-System mit Dokumentationspflicht vergleichbar</w:t>
      </w:r>
    </w:p>
    <w:p>
      <w:r>
        <w:rPr>
          <w:color w:val="5A7D3A"/>
          <w:sz w:val="18"/>
        </w:rPr>
        <w:t>https://pubmed.ncbi.nlm.nih.gov/42623711/</w:t>
      </w:r>
    </w:p>
    <w:p>
      <w:pPr>
        <w:pStyle w:val="Heading1"/>
      </w:pPr>
      <w:r>
        <w:t>Aufgenommen am 11.09.2026</w:t>
      </w:r>
    </w:p>
    <w:p>
      <w:pPr>
        <w:pStyle w:val="Heading2"/>
      </w:pPr>
      <w:r>
        <w:t>Hebammensicht auf Impfskepsis und Impfverweigerung: Faktoren und Strategien</w:t>
      </w:r>
    </w:p>
    <w:p>
      <w:r>
        <w:rPr>
          <w:i/>
          <w:color w:val="666666"/>
          <w:sz w:val="18"/>
        </w:rPr>
        <w:t>Çatalgöl Ş et al.  ·  Rev Esc Enferm USP  ·  07.09.2026  ·  PMID 42721439</w:t>
      </w:r>
    </w:p>
    <w:p>
      <w:r>
        <w:t>Deskriptive Querschnittsstudie mit 81 Hebammen in türkischen Familien-Gesundheitszentren zu Faktoren der Impfskepsis und empfohlenen Lösungsstrategien.</w:t>
      </w:r>
    </w:p>
    <w:p>
      <w:r>
        <w:rPr>
          <w:b/>
        </w:rPr>
        <w:t xml:space="preserve">Ergebnis: </w:t>
      </w:r>
      <w:r>
        <w:t>Meistgenannte Faktoren der Impfskepsis: Anti-Impf-Websites (90,1 %), Sorgen um Impfstoff-Inhaltsstoffe (70,4 %), Einfluss von Gemeinschaftsführern (66,7 %), religiöse Bedenken (65,4 %). Empfohlene Strategien: Fernsehen-Inhalte zur Impfung (70,4 %), öffentliche Ankündigungen (67,9 %), Informationen durch Gesundheitsarbeiter (58,0 %).</w:t>
      </w:r>
    </w:p>
    <w:p>
      <w:r>
        <w:rPr>
          <w:b/>
          <w:sz w:val="19"/>
        </w:rPr>
        <w:t xml:space="preserve">Übertragbarkeit: </w:t>
      </w:r>
      <w:r>
        <w:rPr>
          <w:sz w:val="19"/>
        </w:rPr>
        <w:t>Türkei, ähnliche Herausforderungen wie deutschsprachige Länder; Rolle von Hebammen in Versorgung relevant</w:t>
      </w:r>
    </w:p>
    <w:p>
      <w:r>
        <w:rPr>
          <w:color w:val="5A7D3A"/>
          <w:sz w:val="18"/>
        </w:rPr>
        <w:t>https://pubmed.ncbi.nlm.nih.gov/42721439/</w:t>
      </w:r>
    </w:p>
    <w:p>
      <w:pPr>
        <w:pStyle w:val="Heading2"/>
      </w:pPr>
      <w:r>
        <w:t>Phase-1-COVID-19-Vakzin-Studien: Flüssige Entscheidungsfindung unter wechselndem Pandemikontext</w:t>
      </w:r>
    </w:p>
    <w:p>
      <w:r>
        <w:rPr>
          <w:i/>
          <w:color w:val="666666"/>
          <w:sz w:val="18"/>
        </w:rPr>
        <w:t>Halperin DM et al.  ·  Hum Vaccin Immunother  ·  10.09.2026  ·  PMID 42721118</w:t>
      </w:r>
    </w:p>
    <w:p>
      <w:r>
        <w:t>Qualitative Studie zur Untersuchung von Faktoren, die Einschluss und Verbleib in Phase-1-COVID-19-Vakzin-Studien beeinflussen, mit semi-strukturierten Interviews bei Teilnehmern und Nicht-Teilnehmern.</w:t>
      </w:r>
    </w:p>
    <w:p>
      <w:r>
        <w:rPr>
          <w:b/>
        </w:rPr>
        <w:t xml:space="preserve">Ergebnis: </w:t>
      </w:r>
      <w:r>
        <w:t>Teilnahmeentscheidungen sind flüssig, nicht einmalig; Teilnehmer bewerteten Prioritäten kontinuierlich neu in Abhängigkeit von öffentlich zugelassenen Impfstoffen, Mandaten und COVID-19-Fallzahlen. Protokoll-Anpassung mit Erlaubnis zur PHAV-Gabe unterstützte Verbleib bis Studienende.</w:t>
      </w:r>
    </w:p>
    <w:p>
      <w:r>
        <w:rPr>
          <w:b/>
          <w:sz w:val="19"/>
        </w:rPr>
        <w:t xml:space="preserve">Übertragbarkeit: </w:t>
      </w:r>
      <w:r>
        <w:rPr>
          <w:sz w:val="19"/>
        </w:rPr>
        <w:t>Kanada, ähnliche Versorgungsstrukturen; qualitative Erkenntnisse auf Impfstoff-Vertrauen übertragbar</w:t>
      </w:r>
    </w:p>
    <w:p>
      <w:r>
        <w:rPr>
          <w:color w:val="5A7D3A"/>
          <w:sz w:val="18"/>
        </w:rPr>
        <w:t>https://pubmed.ncbi.nlm.nih.gov/42721118/</w:t>
      </w:r>
    </w:p>
    <w:p>
      <w:pPr>
        <w:pStyle w:val="Heading2"/>
      </w:pPr>
      <w:r>
        <w:t>Erweiterte HPV-Impfung in Polen: Gesundheitsgewinne und Kosteneffizienz</w:t>
      </w:r>
    </w:p>
    <w:p>
      <w:r>
        <w:rPr>
          <w:i/>
          <w:color w:val="666666"/>
          <w:sz w:val="18"/>
        </w:rPr>
        <w:t>Jaworski R et al.  ·  J Med Econ  ·  09.09.2026  ·  PMID 42717549</w:t>
      </w:r>
    </w:p>
    <w:p>
      <w:r>
        <w:t>Kosten-Nutzen-Analyse zur Erweiterung der HPV-Impfung auf Jungen und Mädchen im Alter 9–17 Jahren in Polen.</w:t>
      </w:r>
    </w:p>
    <w:p>
      <w:r>
        <w:rPr>
          <w:b/>
        </w:rPr>
        <w:t xml:space="preserve">Ergebnis: </w:t>
      </w:r>
      <w:r>
        <w:t>Erhöhung der Impfquoten von 20 % auf 60 % reduziert HPV-assoziierte Erkrankungen um 16 % und Todesfälle um 13 %; bei 90 % Abdeckung Reduktion um 33 % bzw. 27 %. Jeder investierte EUR 1,00 erbringt EUR 4,2 (Gesellschaft) bzw. EUR 2,2 (Fiskus) bei 60 % Abdeckung; EUR 4,6 bzw. EUR 2,4 bei 90 %.</w:t>
      </w:r>
    </w:p>
    <w:p>
      <w:r>
        <w:rPr>
          <w:b/>
          <w:sz w:val="19"/>
        </w:rPr>
        <w:t xml:space="preserve">Übertragbarkeit: </w:t>
      </w:r>
      <w:r>
        <w:rPr>
          <w:sz w:val="19"/>
        </w:rPr>
        <w:t>Polen, europäisches Sozialversicherungssystem, Impfkalender-Modellierung</w:t>
      </w:r>
    </w:p>
    <w:p>
      <w:r>
        <w:rPr>
          <w:color w:val="5A7D3A"/>
          <w:sz w:val="18"/>
        </w:rPr>
        <w:t>https://pubmed.ncbi.nlm.nih.gov/42717549/</w:t>
      </w:r>
    </w:p>
    <w:p>
      <w:pPr>
        <w:pStyle w:val="Heading2"/>
      </w:pPr>
      <w:r>
        <w:t>EV-A71-Impfung in Shanghai: 89,9 % Effektivität, Verschiebung zu Nicht-EV-A71-Serotypen</w:t>
      </w:r>
    </w:p>
    <w:p>
      <w:r>
        <w:rPr>
          <w:i/>
          <w:color w:val="666666"/>
          <w:sz w:val="18"/>
        </w:rPr>
        <w:t>Xu Z et al.  ·  Hum Vaccin Immunother  ·  09.09.2026  ·  PMID 42714139</w:t>
      </w:r>
    </w:p>
    <w:p>
      <w:r>
        <w:t>Test-Negative-Design-Studie zur Wirksamkeit der EV-A71-Impfung gegen Hand-Fuß-Mund-Krankheit in Shanghai 2009–2023, mit Vergleich prä- und post-Impfprogramm-Epidemiologie.</w:t>
      </w:r>
    </w:p>
    <w:p>
      <w:r>
        <w:rPr>
          <w:b/>
        </w:rPr>
        <w:t xml:space="preserve">Ergebnis: </w:t>
      </w:r>
      <w:r>
        <w:t>Gesamtwirksamkeit gegen EV-A71-assoziierte HFMD und Herpangina: 89,9 % (95%-KI: 74,5–96,0) für Zwei-Dosen-Serie, 67,9 % (95%-KI: 2,6–89,6) für Einzeldosis. Nach Impfprogramm-Einführung: Inzidenz-Reduktion 56,7 %, Schweregradreduktion 95,2 %, null Todesfälle (von 3 auf 0).</w:t>
      </w:r>
    </w:p>
    <w:p>
      <w:r>
        <w:rPr>
          <w:b/>
          <w:sz w:val="19"/>
        </w:rPr>
        <w:t xml:space="preserve">Übertragbarkeit: </w:t>
      </w:r>
      <w:r>
        <w:rPr>
          <w:sz w:val="19"/>
        </w:rPr>
        <w:t>China-Daten, aber Versorgungseffektivität in realer Welt gut dokumentiert; Serotyp-Shift hat globale Relevanz</w:t>
      </w:r>
    </w:p>
    <w:p>
      <w:r>
        <w:rPr>
          <w:color w:val="5A7D3A"/>
          <w:sz w:val="18"/>
        </w:rPr>
        <w:t>https://pubmed.ncbi.nlm.nih.gov/42714139/</w:t>
      </w:r>
    </w:p>
    <w:p>
      <w:pPr>
        <w:pStyle w:val="Heading2"/>
      </w:pPr>
      <w:r>
        <w:t>mRNA-Impfung verursacht reproduzierbare Transkript-Isoform-Verschiebungen</w:t>
      </w:r>
    </w:p>
    <w:p>
      <w:r>
        <w:rPr>
          <w:i/>
          <w:color w:val="666666"/>
          <w:sz w:val="18"/>
        </w:rPr>
        <w:t>Riemann L et al.  ·  Eur J Immunol  ·  Sept. 2026  ·  PMID 42670157</w:t>
      </w:r>
    </w:p>
    <w:p>
      <w:r>
        <w:t>Analyse longitudinaler RNA-Sequenzierungs-Daten zur Charakterisierung von Veränderungen in der Transkript-Isoform-Nutzung nach mRNA-Impfung.</w:t>
      </w:r>
    </w:p>
    <w:p>
      <w:r>
        <w:rPr>
          <w:b/>
        </w:rPr>
        <w:t xml:space="preserve">Ergebnis: </w:t>
      </w:r>
      <w:r>
        <w:t>mRNA-Impfung induziert schnelle und transiente Welle differentieller Transkript-Nutzung, die 24 h post-Impfung mit 131 veränderten Isoformen über 107 Gene gipfelt, vor Auflösung bis Tag 14. Muster reproduzierbar über mehrere Impfstoff-Kohorten (MVA-basiert, Influenza, Ebola).</w:t>
      </w:r>
    </w:p>
    <w:p>
      <w:r>
        <w:rPr>
          <w:b/>
          <w:sz w:val="19"/>
        </w:rPr>
        <w:t xml:space="preserve">Übertragbarkeit: </w:t>
      </w:r>
      <w:r>
        <w:rPr>
          <w:sz w:val="19"/>
        </w:rPr>
        <w:t>Grundlagenforschung ohne klinischen Endpunkt, nicht geeignet für Versorgungsanalyse</w:t>
      </w:r>
    </w:p>
    <w:p>
      <w:r>
        <w:rPr>
          <w:color w:val="5A7D3A"/>
          <w:sz w:val="18"/>
        </w:rPr>
        <w:t>https://pubmed.ncbi.nlm.nih.gov/42670157/</w:t>
      </w:r>
    </w:p>
    <w:p>
      <w:pPr>
        <w:pStyle w:val="Heading2"/>
      </w:pPr>
      <w:r>
        <w:t>Influenza- und Herpes-Zoster-Impfeffektivität bei Autoimmunerkrankungen: keine Unterschiede zu Gesunden</w:t>
      </w:r>
    </w:p>
    <w:p>
      <w:r>
        <w:rPr>
          <w:i/>
          <w:color w:val="666666"/>
          <w:sz w:val="18"/>
        </w:rPr>
        <w:t>Denz R et al.  ·  J Infect Public Health  ·  02.07.2026  ·  PMID 42398453</w:t>
      </w:r>
    </w:p>
    <w:p>
      <w:r>
        <w:t>Emulierte Zielstudien mit Anspruchsdaten einer großen deutschen Krankenkasse zur Vergleichbarkeit der Impfwirksamkeit zwischen Personen mit und ohne Autoimmunerkrankungen (MS, IBD, CIRD).</w:t>
      </w:r>
    </w:p>
    <w:p>
      <w:r>
        <w:rPr>
          <w:b/>
        </w:rPr>
        <w:t xml:space="preserve">Ergebnis: </w:t>
      </w:r>
      <w:r>
        <w:t>Herpes-Zoster-Wirksamkeit: 68,73 % (95%-KI: 55,75–77,91) bei AID, 60,30 % (55,59–64,52) ohne AID; Wirksamkeitsverhältnis 1,14 (0,93–1,30). Influenza-Wirksamkeit ohne relevante Unterschiede über vier Saisonen; alle Wirksamkeitsverhältnisse nahe 1.</w:t>
      </w:r>
    </w:p>
    <w:p>
      <w:r>
        <w:rPr>
          <w:b/>
          <w:sz w:val="19"/>
        </w:rPr>
        <w:t xml:space="preserve">Übertragbarkeit: </w:t>
      </w:r>
      <w:r>
        <w:rPr>
          <w:sz w:val="19"/>
        </w:rPr>
        <w:t>Deutsche Anspruchsdaten, vergleichbar mit Routine-Versorgung; MS, IBD, CIRD-Patienten relevant für Versorgung</w:t>
      </w:r>
    </w:p>
    <w:p>
      <w:r>
        <w:rPr>
          <w:color w:val="5A7D3A"/>
          <w:sz w:val="18"/>
        </w:rPr>
        <w:t>https://pubmed.ncbi.nlm.nih.gov/42398453/</w:t>
      </w:r>
    </w:p>
    <w:p>
      <w:pPr>
        <w:pStyle w:val="Heading1"/>
      </w:pPr>
      <w:r>
        <w:t>Aufgenommen am 10.09.2026</w:t>
      </w:r>
    </w:p>
    <w:p>
      <w:pPr>
        <w:pStyle w:val="Heading2"/>
      </w:pPr>
      <w:r>
        <w:t>RSV-Impfskepsis bei chinesischen Eltern: Informationssuche dominiert, nicht Vertrauen</w:t>
      </w:r>
    </w:p>
    <w:p>
      <w:r>
        <w:rPr>
          <w:i/>
          <w:color w:val="666666"/>
          <w:sz w:val="18"/>
        </w:rPr>
        <w:t>Zhu Y et al.  ·  Hum Vaccin Immunother  ·  31.12.2026  ·  PMID 42714313</w:t>
      </w:r>
    </w:p>
    <w:p>
      <w:r>
        <w:t>Querschnittstudie mit 4.422 Paaren (Schwangere und Partner) in acht chinesischen Provinzen zur Analyse psychologischer Vorstufen der Vaccine Hesitancy gegenüber RSV-Impfstoffen und RSV-Antikörpern.</w:t>
      </w:r>
    </w:p>
    <w:p>
      <w:r>
        <w:rPr>
          <w:b/>
        </w:rPr>
        <w:t xml:space="preserve">Ergebnis: </w:t>
      </w:r>
      <w:r>
        <w:t>Frauen zeigten marginal niedrigere 5C-Werte als Partner für mütterliche Impfung (45,88 vs. 46,25; Cohen's d = −0,06). Älteres Alter, ländlicher Wohnort und niedriges Einkommen waren unabhängig mit höherer Hesitancy assoziiert. 'Calculation' (aktive Informationssuche) scorte bei beiden Gruppen am höchsten.</w:t>
      </w:r>
    </w:p>
    <w:p>
      <w:r>
        <w:rPr>
          <w:b/>
          <w:sz w:val="19"/>
        </w:rPr>
        <w:t xml:space="preserve">Übertragbarkeit: </w:t>
      </w:r>
      <w:r>
        <w:rPr>
          <w:sz w:val="19"/>
        </w:rPr>
        <w:t>China-Studie; Psychologische Grundmuster der Vaccine Hesitancy international relevant.</w:t>
      </w:r>
    </w:p>
    <w:p>
      <w:r>
        <w:rPr>
          <w:color w:val="5A7D3A"/>
          <w:sz w:val="18"/>
        </w:rPr>
        <w:t>https://pubmed.ncbi.nlm.nih.gov/42714313/</w:t>
      </w:r>
    </w:p>
    <w:p>
      <w:pPr>
        <w:pStyle w:val="Heading2"/>
      </w:pPr>
      <w:r>
        <w:t>Gesundheitskommunikation gegen Impfskepsis bei Kinderimpfungen in Nigeria – Systematische Übersicht</w:t>
      </w:r>
    </w:p>
    <w:p>
      <w:r>
        <w:rPr>
          <w:i/>
          <w:color w:val="666666"/>
          <w:sz w:val="18"/>
        </w:rPr>
        <w:t>Ike TJ et al.  ·  Front Public Health  ·  25.08.2026  ·  PMID 42713528</w:t>
      </w:r>
    </w:p>
    <w:p>
      <w:r>
        <w:t>Systematische Übersicht mit thematischer Synthese von 12 Studien (2017–2026) zu Kommunikationsstrategien gegen elterliche Vaccine Hesitancy bei Kinderimpfungen in Nigeria.</w:t>
      </w:r>
    </w:p>
    <w:p>
      <w:r>
        <w:rPr>
          <w:b/>
        </w:rPr>
        <w:t xml:space="preserve">Ergebnis: </w:t>
      </w:r>
      <w:r>
        <w:t>Vier Strategietypen identifiziert: Medienkampagnen, staatlich gesponserte Kommunikation, Gemeinde-zentrierte Ansätze und telefonische Interventionen. Kulturelle Anpassung, Einbindung vertrauter Führungspersonen (religiöse/traditionelle Leader), Multi-Kanal-Ansatz und Responsivität auf strukturelle Barrieren und Informationsbedarf waren erfolgskritisch.</w:t>
      </w:r>
    </w:p>
    <w:p>
      <w:r>
        <w:rPr>
          <w:b/>
          <w:sz w:val="19"/>
        </w:rPr>
        <w:t xml:space="preserve">Übertragbarkeit: </w:t>
      </w:r>
      <w:r>
        <w:rPr>
          <w:sz w:val="19"/>
        </w:rPr>
        <w:t>Nigeria, niedriges Einkommen; Kommunikationsprinzipien zu Vaccine Hesitancy aber universal relevant.</w:t>
      </w:r>
    </w:p>
    <w:p>
      <w:r>
        <w:rPr>
          <w:color w:val="5A7D3A"/>
          <w:sz w:val="18"/>
        </w:rPr>
        <w:t>https://pubmed.ncbi.nlm.nih.gov/42713528/</w:t>
      </w:r>
    </w:p>
    <w:p>
      <w:pPr>
        <w:pStyle w:val="Heading2"/>
      </w:pPr>
      <w:r>
        <w:t>HPV-Impfquote 70% in Shenzhen: Psychologische Modelle verlieren Erklärungskraft, Kosten bleiben Barriere</w:t>
      </w:r>
    </w:p>
    <w:p>
      <w:r>
        <w:rPr>
          <w:i/>
          <w:color w:val="666666"/>
          <w:sz w:val="18"/>
        </w:rPr>
        <w:t>Liu Y et al.  ·  Front Public Health  ·  25.08.2026  ·  PMID 42712616</w:t>
      </w:r>
    </w:p>
    <w:p>
      <w:r>
        <w:t>Querschnittstudie mit 1.257 Frauen in Shenzhen zur Diskriminanzvalidität von Health Belief Model und 3C-Modell bei Restimpfverweigerung nach bereits 70% HPV-Impfquote.</w:t>
      </w:r>
    </w:p>
    <w:p>
      <w:r>
        <w:rPr>
          <w:b/>
        </w:rPr>
        <w:t xml:space="preserve">Ergebnis: </w:t>
      </w:r>
      <w:r>
        <w:t>Bei 70% Durchimpfung zeigten HBM und 3C-Skalen begrenzte Diskriminanzvalidität zwischen Geimpften und Ungeimpften (nur 2 von 10 Konstrukten signifikant, triviale Effektgrößen d=0,13). Hauptgründe für Nicht-Impfung: hohe Kosten (42,3%) und Sicherheitsbedenken (33,8%). Hukou moderierte wahrgenommene Barrieren suggestiv (nicht signifikant).</w:t>
      </w:r>
    </w:p>
    <w:p>
      <w:r>
        <w:rPr>
          <w:b/>
          <w:sz w:val="19"/>
        </w:rPr>
        <w:t xml:space="preserve">Übertragbarkeit: </w:t>
      </w:r>
      <w:r>
        <w:rPr>
          <w:sz w:val="19"/>
        </w:rPr>
        <w:t>China, hochquoten-Setting; zeigt, dass psychologische Standardmodelle bei Hochquoten an Grenzen stoßen.</w:t>
      </w:r>
    </w:p>
    <w:p>
      <w:r>
        <w:rPr>
          <w:color w:val="5A7D3A"/>
          <w:sz w:val="18"/>
        </w:rPr>
        <w:t>https://pubmed.ncbi.nlm.nih.gov/42712616/</w:t>
      </w:r>
    </w:p>
    <w:p>
      <w:pPr>
        <w:pStyle w:val="Heading2"/>
      </w:pPr>
      <w:r>
        <w:t>COVID-19-Impfung in Irland: Barrieren und Förderfaktoren im Implementierungsprozess</w:t>
      </w:r>
    </w:p>
    <w:p>
      <w:r>
        <w:rPr>
          <w:i/>
          <w:color w:val="666666"/>
          <w:sz w:val="18"/>
        </w:rPr>
        <w:t>Kandulu CC et al.  ·  Vaccine  ·  30.08.2026  ·  PMID 42407300</w:t>
      </w:r>
    </w:p>
    <w:p>
      <w:r>
        <w:t>Qualitative Studie mit 16 Stakeholdern zur Identifikation von Faktoren, die die Umsetzung des COVID-19-Impfprogramms in Irland auf nationaler, regionaler und lokaler Ebene beeinflussten.</w:t>
      </w:r>
    </w:p>
    <w:p>
      <w:r>
        <w:rPr>
          <w:b/>
        </w:rPr>
        <w:t xml:space="preserve">Ergebnis: </w:t>
      </w:r>
      <w:r>
        <w:t>Verzögerte oder sich ändernde Evidenz, Komplexität der Impfstoffe und Anpassung der Bereitstellungskonzepte (Skalierung auf Massenimpfzentren) waren kritische Faktoren. Ressourcenverfügbarkeit, organisatorische Infrastruktur, Policy-Rahmen, Kommunikation und Fachkompetenz waren entscheidend für die Umsetzung.</w:t>
      </w:r>
    </w:p>
    <w:p>
      <w:r>
        <w:rPr>
          <w:b/>
          <w:sz w:val="19"/>
        </w:rPr>
        <w:t xml:space="preserve">Übertragbarkeit: </w:t>
      </w:r>
      <w:r>
        <w:rPr>
          <w:sz w:val="19"/>
        </w:rPr>
        <w:t>Irland, vergleichbares europäisches Gesundheitssystem mit dezentraler Struktur.</w:t>
      </w:r>
    </w:p>
    <w:p>
      <w:r>
        <w:rPr>
          <w:color w:val="5A7D3A"/>
          <w:sz w:val="18"/>
        </w:rPr>
        <w:t>https://pubmed.ncbi.nlm.nih.gov/42407300/</w:t>
      </w:r>
    </w:p>
    <w:p>
      <w:pPr>
        <w:pStyle w:val="Heading2"/>
      </w:pPr>
      <w:r>
        <w:t>SARS-CoV-2-Auffrischimpfungen schützen Menschen mit Autoimmunerkrankungen vor schwerer COVID-19</w:t>
      </w:r>
    </w:p>
    <w:p>
      <w:r>
        <w:rPr>
          <w:i/>
          <w:color w:val="666666"/>
          <w:sz w:val="18"/>
        </w:rPr>
        <w:t>Kukreja NS et al.  ·  RMD Open  ·  03.07.2026  ·  PMID 42399080</w:t>
      </w:r>
    </w:p>
    <w:p>
      <w:r>
        <w:t>Nested Case-Control-Studie mit englischen Primärversorgungs- und Krankenhausdaten zu Schutzwirkung von COVID-19-Auffrischimpfungen bei erwachsenen Patienten mit immunmediierter Entzündungserkrankung (IMID).</w:t>
      </w:r>
    </w:p>
    <w:p>
      <w:r>
        <w:rPr>
          <w:b/>
        </w:rPr>
        <w:t xml:space="preserve">Ergebnis: </w:t>
      </w:r>
      <w:r>
        <w:t>Drei Auffrischimpfungen reduzierten Hospitalisierung/Tod um 80% (aOR 0,20; 95%-KI 0,15–0,28), zwei Dosen um 71% (aOR 0,29; 95%-KI 0,23–0,36), eine Dosis um 44% (aOR 0,56; 95%-KI 0,48–0,65). Schutz bestand innerhalb 365 Tage nach Impfung; Impfungen &gt;365 Tage alt zeigten keinen signifikanten Schutz.</w:t>
      </w:r>
    </w:p>
    <w:p>
      <w:r>
        <w:rPr>
          <w:b/>
          <w:sz w:val="19"/>
        </w:rPr>
        <w:t xml:space="preserve">Übertragbarkeit: </w:t>
      </w:r>
      <w:r>
        <w:rPr>
          <w:sz w:val="19"/>
        </w:rPr>
        <w:t>Englische primärärztliche Flächendaten mit Impfquoten und Krankenhausdokumentation, auf deutsches System übertragbar.</w:t>
      </w:r>
    </w:p>
    <w:p>
      <w:r>
        <w:rPr>
          <w:color w:val="5A7D3A"/>
          <w:sz w:val="18"/>
        </w:rPr>
        <w:t>https://pubmed.ncbi.nlm.nih.gov/42399080/</w:t>
      </w:r>
    </w:p>
    <w:p>
      <w:pPr>
        <w:pStyle w:val="Heading1"/>
      </w:pPr>
      <w:r>
        <w:t>Aufgenommen am 09.09.2026</w:t>
      </w:r>
    </w:p>
    <w:p>
      <w:pPr>
        <w:pStyle w:val="Heading2"/>
      </w:pPr>
      <w:r>
        <w:t>Eltern akzeptieren Meningokokken-B-Impfung für Säuglinge unter fachlicher Empfehlung</w:t>
      </w:r>
    </w:p>
    <w:p>
      <w:r>
        <w:rPr>
          <w:i/>
          <w:color w:val="666666"/>
          <w:sz w:val="18"/>
        </w:rPr>
        <w:t>Herrera-Restrepo O et al.  ·  Hum Vaccin Immunother  ·  08.09.2026  ·  PMID 42709765</w:t>
      </w:r>
    </w:p>
    <w:p>
      <w:r>
        <w:t>US-Online-Befragung von 1.051 Eltern mit Kindern ≤18 Monaten zu Impfbereitschaft gegen Meningokokken B.</w:t>
      </w:r>
    </w:p>
    <w:p>
      <w:r>
        <w:rPr>
          <w:b/>
        </w:rPr>
        <w:t xml:space="preserve">Ergebnis: </w:t>
      </w:r>
      <w:r>
        <w:t>73,4% Kinder vollständig geimpft. Von 266 mit unvollständiger Impfung: 59,8% besorgt um Nebenwirkungen. Ohne Fachempfehlung: 66,3% würden MenB-Impfung akzeptieren, mit Krankheitsinformation: 72,1%. Fachperson-Kommunikation war Schlüsselfaktor.</w:t>
      </w:r>
    </w:p>
    <w:p>
      <w:r>
        <w:rPr>
          <w:b/>
          <w:sz w:val="19"/>
        </w:rPr>
        <w:t xml:space="preserve">Übertragbarkeit: </w:t>
      </w:r>
      <w:r>
        <w:rPr>
          <w:sz w:val="19"/>
        </w:rPr>
        <w:t>USA-System, aber Bedeutung der Fachperson-Kommunikation universal anwendbar, nicht auf Registerdaten übertragbar.</w:t>
      </w:r>
    </w:p>
    <w:p>
      <w:r>
        <w:rPr>
          <w:color w:val="5A7D3A"/>
          <w:sz w:val="18"/>
        </w:rPr>
        <w:t>https://pubmed.ncbi.nlm.nih.gov/42709765/</w:t>
      </w:r>
    </w:p>
    <w:p>
      <w:pPr>
        <w:pStyle w:val="Heading2"/>
      </w:pPr>
      <w:r>
        <w:t>Pneumokokken-Impfung ab 50 Jahren hätte 520.000 Erkrankungsfälle verhindern können</w:t>
      </w:r>
    </w:p>
    <w:p>
      <w:r>
        <w:rPr>
          <w:i/>
          <w:color w:val="666666"/>
          <w:sz w:val="18"/>
        </w:rPr>
        <w:t>Sharomi O et al.  ·  Hum Vaccin Immunother  ·  08.09.2026  ·  PMID 42708971</w:t>
      </w:r>
    </w:p>
    <w:p>
      <w:r>
        <w:t>Modellrechnung zu epidemiologischen Effekten einer Senkung der Impfaltersgrenze für Erwachsene von 60 auf 50 Jahre in Deutschland mit V116 oder PCV20.</w:t>
      </w:r>
    </w:p>
    <w:p>
      <w:r>
        <w:rPr>
          <w:b/>
        </w:rPr>
        <w:t xml:space="preserve">Ergebnis: </w:t>
      </w:r>
      <w:r>
        <w:t>Bei Impfquote von 30%: V116 ab 50 Jahren führte zu 520.128 weniger Pneumokokkus-Erkrankungsfällen, PCV20 zu 325.694 weniger. IPD-Inzidenz im Jahr 10 mit V116 ab 50 Jahren: 20,5 pro 100.000 (vs. 22,1 ab 60 Jahren).</w:t>
      </w:r>
    </w:p>
    <w:p>
      <w:r>
        <w:rPr>
          <w:b/>
          <w:sz w:val="19"/>
        </w:rPr>
        <w:t xml:space="preserve">Übertragbarkeit: </w:t>
      </w:r>
      <w:r>
        <w:rPr>
          <w:sz w:val="19"/>
        </w:rPr>
        <w:t>Deutschland, Modellierung mit deutschen Serotyphaten und Epidemiologie, aber keine empirische Versorgungsdatenbasis.</w:t>
      </w:r>
    </w:p>
    <w:p>
      <w:r>
        <w:rPr>
          <w:color w:val="5A7D3A"/>
          <w:sz w:val="18"/>
        </w:rPr>
        <w:t>https://pubmed.ncbi.nlm.nih.gov/42708971/</w:t>
      </w:r>
    </w:p>
    <w:p>
      <w:pPr>
        <w:pStyle w:val="Heading2"/>
      </w:pPr>
      <w:r>
        <w:t>Mütter wählen Impfungen nach Sicherheit – Information und Vertrauen entscheidend</w:t>
      </w:r>
    </w:p>
    <w:p>
      <w:r>
        <w:rPr>
          <w:i/>
          <w:color w:val="666666"/>
          <w:sz w:val="18"/>
        </w:rPr>
        <w:t>Xing R et al.  ·  Front Public Health  ·  24.08.2026  ·  PMID 42707176</w:t>
      </w:r>
    </w:p>
    <w:p>
      <w:r>
        <w:t>Qualitative Studie mit 16 Müttern in China zu Entscheidungsfaktoren bei selbstgezahlten Kinderimpfungen.</w:t>
      </w:r>
    </w:p>
    <w:p>
      <w:r>
        <w:rPr>
          <w:b/>
        </w:rPr>
        <w:t xml:space="preserve">Ergebnis: </w:t>
      </w:r>
      <w:r>
        <w:t>Sicherheit war Voraussetzung vor Nutzenabwägung. Mütter navigierten asymmetrische Informationen, balancierten Vertrauen in Fachpersonen mit unabhängiger Verifikation. Kosten wirkten als Filter oder Priorisierungsmechanismus. Kommunikationsqualität mit Anbieter:innen prägte Vertrauensaufbau; unzureichende Beratung erhöhte Unsicherheit.</w:t>
      </w:r>
    </w:p>
    <w:p>
      <w:r>
        <w:rPr>
          <w:b/>
          <w:sz w:val="19"/>
        </w:rPr>
        <w:t xml:space="preserve">Übertragbarkeit: </w:t>
      </w:r>
      <w:r>
        <w:rPr>
          <w:sz w:val="19"/>
        </w:rPr>
        <w:t>China, aber Entscheidungsprozesse universal; Qualitätskriterien für Beratung auf deutsches System übertragbar.</w:t>
      </w:r>
    </w:p>
    <w:p>
      <w:r>
        <w:rPr>
          <w:color w:val="5A7D3A"/>
          <w:sz w:val="18"/>
        </w:rPr>
        <w:t>https://pubmed.ncbi.nlm.nih.gov/42707176/</w:t>
      </w:r>
    </w:p>
    <w:p>
      <w:pPr>
        <w:pStyle w:val="Heading2"/>
      </w:pPr>
      <w:r>
        <w:t>Impfkampagne in Onkologie erhöht Impfquoten deutlich</w:t>
      </w:r>
    </w:p>
    <w:p>
      <w:r>
        <w:rPr>
          <w:i/>
          <w:color w:val="666666"/>
          <w:sz w:val="18"/>
        </w:rPr>
        <w:t>Markus T et al.  ·  BMC Public Health  ·  07.09.2026  ·  PMID 42706520</w:t>
      </w:r>
    </w:p>
    <w:p>
      <w:r>
        <w:t>Kölner Universitätsklinik testete eine Interventionsstudie mit Patientenaufklärung, Personalschulung und vor-Ort-Impfung über 1,5 Jahre.</w:t>
      </w:r>
    </w:p>
    <w:p>
      <w:r>
        <w:rPr>
          <w:b/>
        </w:rPr>
        <w:t xml:space="preserve">Ergebnis: </w:t>
      </w:r>
      <w:r>
        <w:t>Gesamtimpfquote stieg von 43% auf 49%, Influenza von 37% auf 48%, Pneumokokken von 16% auf 36%, Herpes zoster von 22% auf 33%. Anteil vollständig geimpfter Patienten: 6% auf 16%.</w:t>
      </w:r>
    </w:p>
    <w:p>
      <w:r>
        <w:rPr>
          <w:b/>
          <w:sz w:val="19"/>
        </w:rPr>
        <w:t xml:space="preserve">Übertragbarkeit: </w:t>
      </w:r>
      <w:r>
        <w:rPr>
          <w:sz w:val="19"/>
        </w:rPr>
        <w:t>Deutschland, Universitätsklinik mit vergleichbarem Dokumentationssystem, Patient:innen mit Malignomen.</w:t>
      </w:r>
    </w:p>
    <w:p>
      <w:r>
        <w:rPr>
          <w:color w:val="5A7D3A"/>
          <w:sz w:val="18"/>
        </w:rPr>
        <w:t>https://pubmed.ncbi.nlm.nih.gov/42706520/</w:t>
      </w:r>
    </w:p>
    <w:p>
      <w:pPr>
        <w:pStyle w:val="Heading2"/>
      </w:pPr>
      <w:r>
        <w:t>COVID-19-Impfstoffsicherheit: Präklinische und klinische Pharmakovigilanz verglichen</w:t>
      </w:r>
    </w:p>
    <w:p>
      <w:r>
        <w:rPr>
          <w:i/>
          <w:color w:val="666666"/>
          <w:sz w:val="18"/>
        </w:rPr>
        <w:t>Gonin C et al.  ·  Regul Toxicol Pharmacol  ·  11.07.2026  ·  PMID 42435835</w:t>
      </w:r>
    </w:p>
    <w:p>
      <w:r>
        <w:t>Französische Behörde (ANSM) verglich Sicherheitsdaten aus Laborstudien und Arzneimittelüberwachung für fünf COVID-19-Impfstoffe auf Reaktogenität, Myokarditis und Thrombose.</w:t>
      </w:r>
    </w:p>
    <w:p>
      <w:r>
        <w:rPr>
          <w:b/>
        </w:rPr>
        <w:t xml:space="preserve">Ergebnis: </w:t>
      </w:r>
      <w:r>
        <w:t>Virale Vektorimpfstoffe zeigten höhere Reaktogenität. Myokarditis und Thrombose-Thrombozytopenie wurden nicht in präklinischen Studien vorhergesagt. Biomarker wie Troponin waren klinisch aussagekräftig; keine Korrelation zwischen präklinischen Parametern und klinischen Ergebnissen.</w:t>
      </w:r>
    </w:p>
    <w:p>
      <w:r>
        <w:rPr>
          <w:b/>
          <w:sz w:val="19"/>
        </w:rPr>
        <w:t xml:space="preserve">Übertragbarkeit: </w:t>
      </w:r>
      <w:r>
        <w:rPr>
          <w:sz w:val="19"/>
        </w:rPr>
        <w:t>Frankreich, nationale Pharmakovigilanz mit europäischem Zulassungskontext, auf Deutschland übertragbar.</w:t>
      </w:r>
    </w:p>
    <w:p>
      <w:r>
        <w:rPr>
          <w:color w:val="5A7D3A"/>
          <w:sz w:val="18"/>
        </w:rPr>
        <w:t>https://pubmed.ncbi.nlm.nih.gov/42435835/</w:t>
      </w:r>
    </w:p>
    <w:p>
      <w:pPr>
        <w:pStyle w:val="Heading2"/>
      </w:pPr>
      <w:r>
        <w:t>COVID-19- und Influenza-Impfung sequenziell in Dialyse-Patienten: Immunogenität stabil</w:t>
      </w:r>
    </w:p>
    <w:p>
      <w:r>
        <w:rPr>
          <w:i/>
          <w:color w:val="666666"/>
          <w:sz w:val="18"/>
        </w:rPr>
        <w:t>Bronder S et al.  ·  Sci Rep  ·  06.07.2026  ·  PMID 42410167</w:t>
      </w:r>
    </w:p>
    <w:p>
      <w:r>
        <w:t>Beobachtungsstudie mit 113 dialysepflichtigen Patienten zu sequenzieller Gabe von XBB.1.5-COVID-19-Impfung und Influenza-Impfung im Abstand von 14 Tagen.</w:t>
      </w:r>
    </w:p>
    <w:p>
      <w:r>
        <w:rPr>
          <w:b/>
        </w:rPr>
        <w:t xml:space="preserve">Ergebnis: </w:t>
      </w:r>
      <w:r>
        <w:t>Nach beiden Impfungen: robuste Steigerung humoraler und zellulärer Antworten. Influenza-Impfung beeinträchtigte Spike-spezifische Antikörper oder T-Zell-Antworten nicht. Spike-Reaktionen blieben 6 Monate stabil und über Niveau ungeimpfter Kontrollen.</w:t>
      </w:r>
    </w:p>
    <w:p>
      <w:r>
        <w:rPr>
          <w:b/>
          <w:sz w:val="19"/>
        </w:rPr>
        <w:t xml:space="preserve">Übertragbarkeit: </w:t>
      </w:r>
      <w:r>
        <w:rPr>
          <w:sz w:val="19"/>
        </w:rPr>
        <w:t>Deutschland, vergleichbares Dialyse-System, aber kleine Kohorte; Transfer auf Hochrisiko-Populationen möglich.</w:t>
      </w:r>
    </w:p>
    <w:p>
      <w:r>
        <w:rPr>
          <w:color w:val="5A7D3A"/>
          <w:sz w:val="18"/>
        </w:rPr>
        <w:t>https://pubmed.ncbi.nlm.nih.gov/42410167/</w:t>
      </w:r>
    </w:p>
    <w:p>
      <w:pPr>
        <w:pStyle w:val="Heading1"/>
      </w:pPr>
      <w:r>
        <w:t>Aufgenommen am 08.09.2026</w:t>
      </w:r>
    </w:p>
    <w:p>
      <w:pPr>
        <w:pStyle w:val="Heading2"/>
      </w:pPr>
      <w:r>
        <w:t>Influenzaimpfung in der Schwangerschaft: Wahrnehmungen, Barrieren und Einflussfaktoren im Iran</w:t>
      </w:r>
    </w:p>
    <w:p>
      <w:r>
        <w:rPr>
          <w:i/>
          <w:color w:val="666666"/>
          <w:sz w:val="18"/>
        </w:rPr>
        <w:t>Yousefi M et al.  ·  Hum Vaccin Immunother  ·  07.09.2026  ·  PMID 42704733</w:t>
      </w:r>
    </w:p>
    <w:p>
      <w:r>
        <w:t>Querschnittsbefragung von 630 schwangeren Frauen zu Determinanten der Influenzaimpfakzeptanz mittels kombiniertem Health Belief Model und Theory of Planned Behavior.</w:t>
      </w:r>
    </w:p>
    <w:p>
      <w:r>
        <w:rPr>
          <w:b/>
        </w:rPr>
        <w:t xml:space="preserve">Ergebnis: </w:t>
      </w:r>
      <w:r>
        <w:t>73% wurden während Schwangerschaft geimpft. Wahrgenommene Anfälligkeit und positive Einstellung waren Prädiktoren für Impfintention (β=0,18 bzw. 0,13), wahrgenommene Barrieren wirkten negativ (β=-0,15). Häufigste Barrieren: Nebenwirkungsangst (49,4%), eingeschränkter Zugang (28,2%), fehlende Ärztempfehlung (27,1%), unzureichende Information (34,1%).</w:t>
      </w:r>
    </w:p>
    <w:p>
      <w:r>
        <w:rPr>
          <w:b/>
          <w:sz w:val="19"/>
        </w:rPr>
        <w:t xml:space="preserve">Übertragbarkeit: </w:t>
      </w:r>
      <w:r>
        <w:rPr>
          <w:sz w:val="19"/>
        </w:rPr>
        <w:t>Iran; Erkenntnisse zu Kommunikationsbarrieren in Ländern mit schwächerer Gesundheitsinfrastruktur teilweise übertragbar</w:t>
      </w:r>
    </w:p>
    <w:p>
      <w:r>
        <w:rPr>
          <w:color w:val="5A7D3A"/>
          <w:sz w:val="18"/>
        </w:rPr>
        <w:t>https://pubmed.ncbi.nlm.nih.gov/42704733/</w:t>
      </w:r>
    </w:p>
    <w:p>
      <w:pPr>
        <w:pStyle w:val="Heading2"/>
      </w:pPr>
      <w:r>
        <w:t>Schulisches Engagement für HPV-Impfbewusstsein steigert Akzeptanz bei Mädchen in Malawi</w:t>
      </w:r>
    </w:p>
    <w:p>
      <w:r>
        <w:rPr>
          <w:i/>
          <w:color w:val="666666"/>
          <w:sz w:val="18"/>
        </w:rPr>
        <w:t>Lubanga AF et al.  ·  Hum Vaccin Immunother  ·  07.09.2026  ·  PMID 42703762</w:t>
      </w:r>
    </w:p>
    <w:p>
      <w:r>
        <w:t>Implementierungsfallstudie einer zweitägigen Schulen- und Gemeinde-Engagementinitiative zur HPV-Impfförderung in Lilongwe, Malawi (2025–2026).</w:t>
      </w:r>
    </w:p>
    <w:p>
      <w:r>
        <w:rPr>
          <w:b/>
        </w:rPr>
        <w:t xml:space="preserve">Ergebnis: </w:t>
      </w:r>
      <w:r>
        <w:t>Über 500 Mädchen (9–14 Jahre) wurden durch schulische Aufklärung erreicht, 45 Gemeindeakteure eingebunden, 100 berechtigte Mädchen geimpft. Zentrale Erfolgsfaktoren: Vertrauen zu Impfpersonal, Schulbeteiligung, Dialogformate, Unterstützung von Gemeindeleitern. Identifizierte Bedenken: Fertilitätsangst, Impfstoffsicherheit, Geschlechtszielung.</w:t>
      </w:r>
    </w:p>
    <w:p>
      <w:r>
        <w:rPr>
          <w:b/>
          <w:sz w:val="19"/>
        </w:rPr>
        <w:t xml:space="preserve">Übertragbarkeit: </w:t>
      </w:r>
      <w:r>
        <w:rPr>
          <w:sz w:val="19"/>
        </w:rPr>
        <w:t>Subsahara-Afrika; Strategien für vertrauensbasierte Gemeindemobilisierung teilweise auf Deutschland übertragbar</w:t>
      </w:r>
    </w:p>
    <w:p>
      <w:r>
        <w:rPr>
          <w:color w:val="5A7D3A"/>
          <w:sz w:val="18"/>
        </w:rPr>
        <w:t>https://pubmed.ncbi.nlm.nih.gov/42703762/</w:t>
      </w:r>
    </w:p>
    <w:p>
      <w:pPr>
        <w:pStyle w:val="Heading2"/>
      </w:pPr>
      <w:r>
        <w:t>COVID-19-Auffrischungsimpfung: Ländliche und städtische Disparitäten in Südbangladesh</w:t>
      </w:r>
    </w:p>
    <w:p>
      <w:r>
        <w:rPr>
          <w:i/>
          <w:color w:val="666666"/>
          <w:sz w:val="18"/>
        </w:rPr>
        <w:t>Nath Roy D et al.  ·  Risk Anal  ·  Sept. 2026  ·  PMID 42702940</w:t>
      </w:r>
    </w:p>
    <w:p>
      <w:r>
        <w:t>Querschnittsbeobachtungsstudie (Dezember 2023–März 2024) zu Akzeptanz und Prädiktoren der Auffrischungsimpfung in ländlichen (n=379) und städtischen (n=328) Populationen in Südbangladesh.</w:t>
      </w:r>
    </w:p>
    <w:p>
      <w:r>
        <w:rPr>
          <w:b/>
        </w:rPr>
        <w:t xml:space="preserve">Ergebnis: </w:t>
      </w:r>
      <w:r>
        <w:t>Akzeptanzquote 69,9% insgesamt, ländlich 62,5% (95%-KI: 60,6–64,8) vs. urban 78,4% (95%-KI: 76,2–80,6; p&lt;0,001). Nebenwirkungsangst negativ assoziiert in beiden Settings. Ländlich: Kommunikation, Vertrauen, sozialer Einfluss positiv assoziiert. Urban: Gemeinschaftsschutz und Risiko-Nutzen-Verhältnis signifikant; Unabhängigkeit von Nicht-Pharmaka negativ assoziiert.</w:t>
      </w:r>
    </w:p>
    <w:p>
      <w:r>
        <w:rPr>
          <w:b/>
          <w:sz w:val="19"/>
        </w:rPr>
        <w:t xml:space="preserve">Übertragbarkeit: </w:t>
      </w:r>
      <w:r>
        <w:rPr>
          <w:sz w:val="19"/>
        </w:rPr>
        <w:t>Bangladesch; Erkenntnisse zu Vertrauenslücken und Kommunikationshindernissen in Ländern mit niedriger Impfquote</w:t>
      </w:r>
    </w:p>
    <w:p>
      <w:r>
        <w:rPr>
          <w:color w:val="5A7D3A"/>
          <w:sz w:val="18"/>
        </w:rPr>
        <w:t>https://pubmed.ncbi.nlm.nih.gov/42702940/</w:t>
      </w:r>
    </w:p>
    <w:p>
      <w:pPr>
        <w:pStyle w:val="Heading2"/>
      </w:pPr>
      <w:r>
        <w:t>COVID-19-Impfquote bei Psychiatriepatienten in Bayern deutlich höher als in der Bevölkerung</w:t>
      </w:r>
    </w:p>
    <w:p>
      <w:r>
        <w:rPr>
          <w:i/>
          <w:color w:val="666666"/>
          <w:sz w:val="18"/>
        </w:rPr>
        <w:t>Aksar A et al.  ·  J Psychiatr Res  ·  12.08.2026  ·  PMID 42603342</w:t>
      </w:r>
    </w:p>
    <w:p>
      <w:r>
        <w:t>Retrospektive Analyse der COVID-19-Impfquoten bei psychiatrischen Patienten in stationärer und ambulanter Behandlung in Südostbayern (2022–2023) im Vergleich zur Allgemeinbevölkerung.</w:t>
      </w:r>
    </w:p>
    <w:p>
      <w:r>
        <w:rPr>
          <w:b/>
        </w:rPr>
        <w:t xml:space="preserve">Ergebnis: </w:t>
      </w:r>
      <w:r>
        <w:t>Ungeimpftenquote in der Studiengruppe (n=3.734 Fälle) 13,6% vs. Bayerndurchschnitt 15–20%; höhere Quoten bei älteren und weiblichen Patienten, niedrigere bei Alkohol- und Substanzabhängigen. Ergebnis deuted auf positive Effekte von stationären Impfangeboten hin, bedarf aber weiterer Erforschung.</w:t>
      </w:r>
    </w:p>
    <w:p>
      <w:r>
        <w:rPr>
          <w:b/>
          <w:sz w:val="19"/>
        </w:rPr>
        <w:t xml:space="preserve">Übertragbarkeit: </w:t>
      </w:r>
      <w:r>
        <w:rPr>
          <w:sz w:val="19"/>
        </w:rPr>
        <w:t>Deutsche Klinikdaten, eigene Impfdokumentation ohne Registeranbindung</w:t>
      </w:r>
    </w:p>
    <w:p>
      <w:r>
        <w:rPr>
          <w:color w:val="5A7D3A"/>
          <w:sz w:val="18"/>
        </w:rPr>
        <w:t>https://pubmed.ncbi.nlm.nih.gov/42603342/</w:t>
      </w:r>
    </w:p>
    <w:p>
      <w:pPr>
        <w:pStyle w:val="Heading2"/>
      </w:pPr>
      <w:r>
        <w:t>Neustart in der RSV-Prävention: Nirsevimab und mütterliche Vakzination reduzieren Hospitalisierungen</w:t>
      </w:r>
    </w:p>
    <w:p>
      <w:r>
        <w:rPr>
          <w:i/>
          <w:color w:val="666666"/>
          <w:sz w:val="18"/>
        </w:rPr>
        <w:t>Marchetti F  ·  Recenti Prog Med  ·  Juli 2026  ·  PMID 42459097</w:t>
      </w:r>
    </w:p>
    <w:p>
      <w:r>
        <w:t>Narrativer Übersichtsartikel zur neuen Ärade der RSV-Prävention in früher Kindheit durch langwirksames monoklonales Antikörper Nirsevimab und mütterliche RSVpreF-Impfung basierend auf Real-World Evidence.</w:t>
      </w:r>
    </w:p>
    <w:p>
      <w:r>
        <w:rPr>
          <w:b/>
        </w:rPr>
        <w:t xml:space="preserve">Ergebnis: </w:t>
      </w:r>
      <w:r>
        <w:t>Großangelegte bevölkerungsbasierte Studien (z.B. französische Studie mit &gt;160.000 Säuglingen) belegen wesentliche Reduktion von RSV-bedingten Hospitalisierungen, intensivmedizinischer Aufnahmen und Beatmungsbedarf bei Nirsevimab-geimpften Säuglingen. Mütterliche Impfung schützt transplazentar bei optimaler Timing; Nirsevimab bietet unabhängige Vorhersagbarkeit.</w:t>
      </w:r>
    </w:p>
    <w:p>
      <w:r>
        <w:rPr>
          <w:b/>
          <w:sz w:val="19"/>
        </w:rPr>
        <w:t xml:space="preserve">Übertragbarkeit: </w:t>
      </w:r>
      <w:r>
        <w:rPr>
          <w:sz w:val="19"/>
        </w:rPr>
        <w:t>Frankreich und europäische Daten zur Implementierungserfahrung; nationales Impfprogramm für Deutschland noch zu entwickeln</w:t>
      </w:r>
    </w:p>
    <w:p>
      <w:r>
        <w:rPr>
          <w:color w:val="5A7D3A"/>
          <w:sz w:val="18"/>
        </w:rPr>
        <w:t>https://pubmed.ncbi.nlm.nih.gov/42459097/</w:t>
      </w:r>
    </w:p>
    <w:p>
      <w:pPr>
        <w:pStyle w:val="Heading2"/>
      </w:pPr>
      <w:r>
        <w:t>Immunitätslücken bei Diphtherie, Tetanus und Keuchhusten in Norwegen</w:t>
      </w:r>
    </w:p>
    <w:p>
      <w:r>
        <w:rPr>
          <w:i/>
          <w:color w:val="666666"/>
          <w:sz w:val="18"/>
        </w:rPr>
        <w:t>Aase A et al.  ·  Vaccine  ·  30.08.2026  ·  PMID 42413320</w:t>
      </w:r>
    </w:p>
    <w:p>
      <w:r>
        <w:t>Serologische Querschnittsstudie an repräsentativer norwegischer Bevölkerung (n=3.051, Alter 2–95 Jahre) zur Antikörperprävalenz gegen sieben Impfkrankheiten.</w:t>
      </w:r>
    </w:p>
    <w:p>
      <w:r>
        <w:rPr>
          <w:b/>
        </w:rPr>
        <w:t xml:space="preserve">Ergebnis: </w:t>
      </w:r>
      <w:r>
        <w:t>39,8% der Frauen und 25,0% der Männer ≥60 Jahre unter Schutzwert Diphtherie; 76,5% bzw. 41,7% unter Schutzwert Tetanus. Bei 6-Jährigen: 20,7% unter Diphtherie-, 25,0% unter Tetanus-Schutzwert vor Auffrischung. Masern und Röteln ausreichend protektiv in allen Altersgruppen.</w:t>
      </w:r>
    </w:p>
    <w:p>
      <w:r>
        <w:rPr>
          <w:b/>
          <w:sz w:val="19"/>
        </w:rPr>
        <w:t xml:space="preserve">Übertragbarkeit: </w:t>
      </w:r>
      <w:r>
        <w:rPr>
          <w:sz w:val="19"/>
        </w:rPr>
        <w:t>Nordeuropäisches Impfregister ermöglicht präzise Kohortenabfrage; Empfehlungskalender und Auffrischungsintervalle nicht direkt auf Deutschland übertragbar</w:t>
      </w:r>
    </w:p>
    <w:p>
      <w:r>
        <w:rPr>
          <w:color w:val="5A7D3A"/>
          <w:sz w:val="18"/>
        </w:rPr>
        <w:t>https://pubmed.ncbi.nlm.nih.gov/42413320/</w:t>
      </w:r>
    </w:p>
    <w:p>
      <w:pPr>
        <w:pStyle w:val="Heading1"/>
      </w:pPr>
      <w:r>
        <w:t>Aufgenommen am 07.09.2026</w:t>
      </w:r>
    </w:p>
    <w:p>
      <w:pPr>
        <w:pStyle w:val="Heading2"/>
      </w:pPr>
      <w:r>
        <w:t>HPV-Impfbereitschaft männlicher Studierender: Krankheitserkennung stärker als Dienstleistungsbewusstsein</w:t>
      </w:r>
    </w:p>
    <w:p>
      <w:r>
        <w:rPr>
          <w:i/>
          <w:color w:val="666666"/>
          <w:sz w:val="18"/>
        </w:rPr>
        <w:t>Zhang Y et al.  ·  Front Public Health  ·  21.08.2026  ·  PMID 42698614</w:t>
      </w:r>
    </w:p>
    <w:p>
      <w:r>
        <w:t>Querschnittsumfrage mit 4.260 männlichen Studierenden in China (Festland, Hongkong, Macau, Ausland) zur Bereitschaft für Grenzüberschreitungs-HPV-Impfung (2025–2026).</w:t>
      </w:r>
    </w:p>
    <w:p>
      <w:r>
        <w:rPr>
          <w:b/>
        </w:rPr>
        <w:t xml:space="preserve">Ergebnis: </w:t>
      </w:r>
      <w:r>
        <w:t>74,7% (3.182/4.260) zeigten Bereitschaft für Grenzüberschreitung. Krankheitserkennung war dominantester Faktor: Teilnehmer ohne Erkennung ≥1 HPV-assoziierter Erkrankung hatten deutlich niedrigere Quote (aOR=0,041, 95%-KI 0,017–0,095, p&lt;0,001). Bewusstsein für Grenzüberschreitungsangebot schwach positiv (aOR=1,233, p=0,008). Schulische HPV-Aufklärung (aOR=1,203, p=0,044) und höheres Klassenniveau (aOR=1,111 pro Stufe, p=0,012) assoziiert.</w:t>
      </w:r>
    </w:p>
    <w:p>
      <w:r>
        <w:rPr>
          <w:b/>
          <w:sz w:val="19"/>
        </w:rPr>
        <w:t xml:space="preserve">Übertragbarkeit: </w:t>
      </w:r>
      <w:r>
        <w:rPr>
          <w:sz w:val="19"/>
        </w:rPr>
        <w:t>China – kulturell/system-spezifisch, Erkenntnisse zu Edukationsbedarf und männlicher Impfskepsis aber verallgemeinerbar</w:t>
      </w:r>
    </w:p>
    <w:p>
      <w:r>
        <w:rPr>
          <w:color w:val="5A7D3A"/>
          <w:sz w:val="18"/>
        </w:rPr>
        <w:t>https://pubmed.ncbi.nlm.nih.gov/42698614/</w:t>
      </w:r>
    </w:p>
    <w:p>
      <w:pPr>
        <w:pStyle w:val="Heading2"/>
      </w:pPr>
      <w:r>
        <w:t>Neutralisierende Antikörper senken Risiko für schwere COVID-19 um durchschnittlich 43 %</w:t>
      </w:r>
    </w:p>
    <w:p>
      <w:r>
        <w:rPr>
          <w:i/>
          <w:color w:val="666666"/>
          <w:sz w:val="18"/>
        </w:rPr>
        <w:t>Elias KM et al.  ·  PLoS Med  ·  02.09.2026  ·  PMID 42685247</w:t>
      </w:r>
    </w:p>
    <w:p>
      <w:r>
        <w:t>Meta-Analyse von 25 klinischen Studien zur Wirksamkeit vakzininduzierten Neutralisierungstitern gegen Progression zu schwerem COVID-19 bei Infizierten.</w:t>
      </w:r>
    </w:p>
    <w:p>
      <w:r>
        <w:rPr>
          <w:b/>
        </w:rPr>
        <w:t xml:space="preserve">Ergebnis: </w:t>
      </w:r>
      <w:r>
        <w:t>Zehnfacher Anstieg der Neutralisierungstiter senkt relatives Progressionsrisiko zu schwerer Erkrankung um 43% (RR 0,57, 95%-KI [0,51–0,64], p&lt;0,001). Schutz durch Impfung übertrifft passiv verabreichte Antikörper, deutet aber auch auf zusätzliche T-Zell-Mechanismen hin.</w:t>
      </w:r>
    </w:p>
    <w:p>
      <w:r>
        <w:rPr>
          <w:b/>
          <w:sz w:val="19"/>
        </w:rPr>
        <w:t xml:space="preserve">Übertragbarkeit: </w:t>
      </w:r>
      <w:r>
        <w:rPr>
          <w:sz w:val="19"/>
        </w:rPr>
        <w:t>Australien/international – laborbasierte Korrelate, mechanistischer Befund übertragbar auf deutsche Population</w:t>
      </w:r>
    </w:p>
    <w:p>
      <w:r>
        <w:rPr>
          <w:color w:val="5A7D3A"/>
          <w:sz w:val="18"/>
        </w:rPr>
        <w:t>https://pubmed.ncbi.nlm.nih.gov/42685247/</w:t>
      </w:r>
    </w:p>
    <w:p>
      <w:pPr>
        <w:pStyle w:val="Heading2"/>
      </w:pPr>
      <w:r>
        <w:t>Pneumokokken-Impfquote bei immunsupprimierten Personen in England deutlich unter Zielwert</w:t>
      </w:r>
    </w:p>
    <w:p>
      <w:r>
        <w:rPr>
          <w:i/>
          <w:color w:val="666666"/>
          <w:sz w:val="18"/>
        </w:rPr>
        <w:t>Meza B et al.  ·  JMIR Res Protoc  ·  09.07.2026  ·  PMID 42424613</w:t>
      </w:r>
    </w:p>
    <w:p>
      <w:r>
        <w:t>Retrospektive Kohortenstudie mit Registerdaten von 2025 bis 2026 zur Impfquote bei Erwachsenen mit Immunsuppression in primärärztlicher Versorgung (Oxford-RCGP-Netzwerk).</w:t>
      </w:r>
    </w:p>
    <w:p>
      <w:r>
        <w:rPr>
          <w:b/>
        </w:rPr>
        <w:t xml:space="preserve">Ergebnis: </w:t>
      </w:r>
      <w:r>
        <w:t>Pneumokokken-Impfquote in der immunsupprimierten Population bleibt eine Unbekannte, die Studie befindet sich noch in Analyse (Ergebnisse für 2026 erwartet). Ziel: Disaggregierte Berichte über Impfquoten nach Immunsuppression-Grund, sozioökonomischem Gradienten und ethnischer Gruppe. Erkenntes Problem: Breite Lücke bei hochrisikogruppenspezifischen Impfquoten-Daten.</w:t>
      </w:r>
    </w:p>
    <w:p>
      <w:r>
        <w:rPr>
          <w:b/>
          <w:sz w:val="19"/>
        </w:rPr>
        <w:t xml:space="preserve">Übertragbarkeit: </w:t>
      </w:r>
      <w:r>
        <w:rPr>
          <w:sz w:val="19"/>
        </w:rPr>
        <w:t>Großbritannien – vergleichbares NHS-System, aber kein deutsches Impfregister; Qualität hängt von Registerdatenverfügbarkeit ab</w:t>
      </w:r>
    </w:p>
    <w:p>
      <w:r>
        <w:rPr>
          <w:color w:val="5A7D3A"/>
          <w:sz w:val="18"/>
        </w:rPr>
        <w:t>https://pubmed.ncbi.nlm.nih.gov/42424613/</w:t>
      </w:r>
    </w:p>
    <w:p>
      <w:pPr>
        <w:pStyle w:val="Heading2"/>
      </w:pPr>
      <w:r>
        <w:t>COVID-Impfmandates als Anreiz-Instrumente: 7S-Rahmen für Mandatspolitik</w:t>
      </w:r>
    </w:p>
    <w:p>
      <w:r>
        <w:rPr>
          <w:i/>
          <w:color w:val="666666"/>
          <w:sz w:val="18"/>
        </w:rPr>
        <w:t>Duong H et al.  ·  Glob Public Health  ·  31.12.2026  ·  PMID 42421423</w:t>
      </w:r>
    </w:p>
    <w:p>
      <w:r>
        <w:t>Qualitative Analyse von Impfmandaten in sechs Ländern (Australien, Frankreich, Israel, Malaysia, Singapur, Vietnam) zur Unterscheidung zwischen Zwang und Anreizen.</w:t>
      </w:r>
    </w:p>
    <w:p>
      <w:r>
        <w:rPr>
          <w:b/>
        </w:rPr>
        <w:t xml:space="preserve">Ergebnis: </w:t>
      </w:r>
      <w:r>
        <w:t>Mandate funktionierten überwiegend als Anreize zur Wiederherstellung von Grundrechten (Arbeit, Reisen, öffentliche Räume), die durch Lockdowns entzogen wurden. Theoretischer Rahmen zeigt: Konzeptionelle Definition muss zwischen «Entziehung-Wiederherstellung» und echtem Zwang unterscheiden. Kernaussage für Mandatsforschung: Kontext von Pandemie-Restriktionen prägt Wahrnehmung und Effektivität erheblich.</w:t>
      </w:r>
    </w:p>
    <w:p>
      <w:r>
        <w:rPr>
          <w:b/>
          <w:sz w:val="19"/>
        </w:rPr>
        <w:t xml:space="preserve">Übertragbarkeit: </w:t>
      </w:r>
      <w:r>
        <w:rPr>
          <w:sz w:val="19"/>
        </w:rPr>
        <w:t>Internationale Perspektive – Policyanalyse, weniger direkt auf deutsches System übertragbar, aber konzeptuell relevant für Impfpflicht-Debatten</w:t>
      </w:r>
    </w:p>
    <w:p>
      <w:r>
        <w:rPr>
          <w:color w:val="5A7D3A"/>
          <w:sz w:val="18"/>
        </w:rPr>
        <w:t>https://pubmed.ncbi.nlm.nih.gov/42421423/</w:t>
      </w:r>
    </w:p>
    <w:p>
      <w:pPr>
        <w:pStyle w:val="Heading2"/>
      </w:pPr>
      <w:r>
        <w:t>Video-Intervention steigert Impfbewusstsein bei psychischen Erkrankungen, nicht Impfbereitschaft</w:t>
      </w:r>
    </w:p>
    <w:p>
      <w:r>
        <w:rPr>
          <w:i/>
          <w:color w:val="666666"/>
          <w:sz w:val="18"/>
        </w:rPr>
        <w:t>Huth D et al.  ·  Front Public Health  ·  23.06.2026  ·  PMID 42415765</w:t>
      </w:r>
    </w:p>
    <w:p>
      <w:r>
        <w:t>Randomisierte Online-Studie mit 639 deutschsprachigen Teilnehmern (24,4% mit selbstberichteter psychischer Störung) zur Wirkung eines Aufklärungsvideos auf COVID-19-Impfakzeptanz bei vulnerablen Gruppen.</w:t>
      </w:r>
    </w:p>
    <w:p>
      <w:r>
        <w:rPr>
          <w:b/>
        </w:rPr>
        <w:t xml:space="preserve">Ergebnis: </w:t>
      </w:r>
      <w:r>
        <w:t>Video erhöhte Risikobewusstsein signifikant (p=0,010, d=0,21) und Verständnis für Impfung bei psychischen Erkrankungen (p=0,033, d=0,17), steigerte aber nicht die Impfbereitschaft. Versorgungslücke bleibt offen: Psychisch kranke Menschen zeigen höhere wahrgenommene Anfälligkeit (p=0,032, d=0,36), aber Aufklärung allein führt zu keinem Verhaltenswechsel.</w:t>
      </w:r>
    </w:p>
    <w:p>
      <w:r>
        <w:rPr>
          <w:b/>
          <w:sz w:val="19"/>
        </w:rPr>
        <w:t xml:space="preserve">Übertragbarkeit: </w:t>
      </w:r>
      <w:r>
        <w:rPr>
          <w:sz w:val="19"/>
        </w:rPr>
        <w:t>Deutschland – Teilnehmer aus deutscher Bevölkerung, lokale Vulnerabilitätsgruppen</w:t>
      </w:r>
    </w:p>
    <w:p>
      <w:r>
        <w:rPr>
          <w:color w:val="5A7D3A"/>
          <w:sz w:val="18"/>
        </w:rPr>
        <w:t>https://pubmed.ncbi.nlm.nih.gov/42415765/</w:t>
      </w:r>
    </w:p>
    <w:p>
      <w:pPr>
        <w:pStyle w:val="Heading1"/>
      </w:pPr>
      <w:r>
        <w:t>Aufgenommen am 06.09.2026</w:t>
      </w:r>
    </w:p>
    <w:p>
      <w:pPr>
        <w:pStyle w:val="Heading2"/>
      </w:pPr>
      <w:r>
        <w:t>Tetanus-Schutzimpfungen bei Frauen in Afghanistan: massive Deckungslücken</w:t>
      </w:r>
    </w:p>
    <w:p>
      <w:r>
        <w:rPr>
          <w:i/>
          <w:color w:val="666666"/>
          <w:sz w:val="18"/>
        </w:rPr>
        <w:t>Stanikzai MH et al.  ·  Hum Vaccin Immunother  ·  02.09.2026  ·  PMID 42683523</w:t>
      </w:r>
    </w:p>
    <w:p>
      <w:r>
        <w:t>Nationale Survey mit 12450 verheirateten Frauen in Afghanistan untersuchte Tetanus-Impfquoten und deren Assoziationen.</w:t>
      </w:r>
    </w:p>
    <w:p>
      <w:r>
        <w:rPr>
          <w:b/>
        </w:rPr>
        <w:t xml:space="preserve">Ergebnis: </w:t>
      </w:r>
      <w:r>
        <w:t>Nur 49,9% mit adäquater TT-Immunisierung. Höhere Quote bei sekundärer/höherer Bildung (AOR=1,57), bei ≥4 Antenatal-Care-Besuchen (AOR=4,67), in Regionen mit besserer Infrastruktur. Geringere Quote bei Frauen ≥40 Jahren (AOR=0,76) und in Ost- und Westregionen. Zeigt massive Ungleichheit.</w:t>
      </w:r>
    </w:p>
    <w:p>
      <w:r>
        <w:rPr>
          <w:b/>
          <w:sz w:val="19"/>
        </w:rPr>
        <w:t xml:space="preserve">Übertragbarkeit: </w:t>
      </w:r>
      <w:r>
        <w:rPr>
          <w:sz w:val="19"/>
        </w:rPr>
        <w:t>Afghanistan-spezifisch, aber Methode zur Identifikation von Zugangsbarrieren übertragbar</w:t>
      </w:r>
    </w:p>
    <w:p>
      <w:r>
        <w:rPr>
          <w:color w:val="5A7D3A"/>
          <w:sz w:val="18"/>
        </w:rPr>
        <w:t>https://pubmed.ncbi.nlm.nih.gov/42683523/</w:t>
      </w:r>
    </w:p>
    <w:p>
      <w:pPr>
        <w:pStyle w:val="Heading2"/>
      </w:pPr>
      <w:r>
        <w:t>Masern-Antikörperwaning gefährdet Herdenimmunität trotz hoher Impfquoten</w:t>
      </w:r>
    </w:p>
    <w:p>
      <w:r>
        <w:rPr>
          <w:i/>
          <w:color w:val="666666"/>
          <w:sz w:val="18"/>
        </w:rPr>
        <w:t>Wang W et al.  ·  Front Immunol  ·  18.08.2026  ·  PMID 42682682</w:t>
      </w:r>
    </w:p>
    <w:p>
      <w:r>
        <w:t>Chinesische Serologie-Studie mit 2083 Teilnehmern untersuchte Masern-Antikörper-Persistenz und Immunitätslücken nach Elimination des Wildvirus.</w:t>
      </w:r>
    </w:p>
    <w:p>
      <w:r>
        <w:rPr>
          <w:b/>
        </w:rPr>
        <w:t xml:space="preserve">Ergebnis: </w:t>
      </w:r>
      <w:r>
        <w:t>Gesamte Seropositiv-Quote 84,59%, aber Antikörper-Spiegel zeigten nicht-linearen Rückgang mit Zeit. Kinder 8–17 Monate: nur 28,13% Seropositiv. Jedes Jahr seit letzter Impfung erhöhte Seronegativi-Risiko um 11% (AOR=1,11). Dies zeigt erhebliche Immunitätslücken trotz hoher MCV-Abdeckung.</w:t>
      </w:r>
    </w:p>
    <w:p>
      <w:r>
        <w:rPr>
          <w:b/>
          <w:sz w:val="19"/>
        </w:rPr>
        <w:t xml:space="preserve">Übertragbarkeit: </w:t>
      </w:r>
      <w:r>
        <w:rPr>
          <w:sz w:val="19"/>
        </w:rPr>
        <w:t>Epidemiologische Erkenntnisse übertragbar auf systematische Surveillance-Überwachung</w:t>
      </w:r>
    </w:p>
    <w:p>
      <w:r>
        <w:rPr>
          <w:color w:val="5A7D3A"/>
          <w:sz w:val="18"/>
        </w:rPr>
        <w:t>https://pubmed.ncbi.nlm.nih.gov/42682682/</w:t>
      </w:r>
    </w:p>
    <w:p>
      <w:pPr>
        <w:pStyle w:val="Heading2"/>
      </w:pPr>
      <w:r>
        <w:t>HPV-Impfschutz bestätigt trotz hoher Prävalenz nicht-geimpfter Typen</w:t>
      </w:r>
    </w:p>
    <w:p>
      <w:r>
        <w:rPr>
          <w:i/>
          <w:color w:val="666666"/>
          <w:sz w:val="18"/>
        </w:rPr>
        <w:t>Gross S et al.  ·  Arch Virol  ·  28.08.2026  ·  PMID 42663706</w:t>
      </w:r>
    </w:p>
    <w:p>
      <w:r>
        <w:t>Französische Studie untersuchte HPV-Genotypen bei 464 geimpften Frauen zur Bewertung der Impfeffektivität unter Alltagsbedingungen.</w:t>
      </w:r>
    </w:p>
    <w:p>
      <w:r>
        <w:rPr>
          <w:b/>
        </w:rPr>
        <w:t xml:space="preserve">Ergebnis: </w:t>
      </w:r>
      <w:r>
        <w:t>HPV16/18-Prävalenz lag bei nur 4,3%, was die Impfeffektivität bestätigt. Allerdings wurden hochrisiko-HPV-Typen (52, 51, 56) in 8,2–5,8% nachgewiesen, die nicht in Bivalent- oder Quadrivalent-Impfstoffen enthalten sind. Dies unterstreicht die Überlegenheit nonavalenter Impfstoffe.</w:t>
      </w:r>
    </w:p>
    <w:p>
      <w:r>
        <w:rPr>
          <w:b/>
          <w:sz w:val="19"/>
        </w:rPr>
        <w:t xml:space="preserve">Übertragbarkeit: </w:t>
      </w:r>
      <w:r>
        <w:rPr>
          <w:sz w:val="19"/>
        </w:rPr>
        <w:t>Frankreich, vergleichbares Versicherungssystem, Screening-Daten verfügbar</w:t>
      </w:r>
    </w:p>
    <w:p>
      <w:r>
        <w:rPr>
          <w:color w:val="5A7D3A"/>
          <w:sz w:val="18"/>
        </w:rPr>
        <w:t>https://pubmed.ncbi.nlm.nih.gov/42663706/</w:t>
      </w:r>
    </w:p>
    <w:p>
      <w:pPr>
        <w:pStyle w:val="Heading2"/>
      </w:pPr>
      <w:r>
        <w:t>HBV-Therapeutische Impfung zeigt Immunantwort, aber keine funktionale Heilung</w:t>
      </w:r>
    </w:p>
    <w:p>
      <w:r>
        <w:rPr>
          <w:i/>
          <w:color w:val="666666"/>
          <w:sz w:val="18"/>
        </w:rPr>
        <w:t>Jeng WJ et al.  ·  Hepatol Commun  ·  01.09.2026  ·  PMID 42623526</w:t>
      </w:r>
    </w:p>
    <w:p>
      <w:r>
        <w:t>Phase-1/2-RCT mit 134 Patienten mit chronischer Hepatitis B unter Nukleos(t)id-Analoga testete heterologe prime-boost Impfstrategie.</w:t>
      </w:r>
    </w:p>
    <w:p>
      <w:r>
        <w:rPr>
          <w:b/>
        </w:rPr>
        <w:t xml:space="preserve">Ergebnis: </w:t>
      </w:r>
      <w:r>
        <w:t>Kein HBsAg-Verlust oder ≥1-log-Reduktion bei allen 134 Patienten (primärer Endpunkt verfehlt). Co-Gabe induzierte stärkste Anti-HBs-Antwort (73,7% ≥10 mIU/mL vs. 40% sequential). Grade-3-AE häufiger bei Co-Gabe (59,3% systemisch). CD4+/CD8+ T-Zell-Antworten nachgewiesen, aber begrenzte klinische Wirksamkeit.</w:t>
      </w:r>
    </w:p>
    <w:p>
      <w:r>
        <w:rPr>
          <w:b/>
          <w:sz w:val="19"/>
        </w:rPr>
        <w:t xml:space="preserve">Übertragbarkeit: </w:t>
      </w:r>
      <w:r>
        <w:rPr>
          <w:sz w:val="19"/>
        </w:rPr>
        <w:t>Europäische und internationale Zentren, vergleichbar mit deutschem Versicherungssystem</w:t>
      </w:r>
    </w:p>
    <w:p>
      <w:r>
        <w:rPr>
          <w:color w:val="5A7D3A"/>
          <w:sz w:val="18"/>
        </w:rPr>
        <w:t>https://pubmed.ncbi.nlm.nih.gov/42623526/</w:t>
      </w:r>
    </w:p>
    <w:p>
      <w:pPr>
        <w:pStyle w:val="Heading2"/>
      </w:pPr>
      <w:r>
        <w:t>Computergestützte Prognosen in Schwedens COVID-Impfphase: Forschung ohne Politikbezug</w:t>
      </w:r>
    </w:p>
    <w:p>
      <w:r>
        <w:rPr>
          <w:i/>
          <w:color w:val="666666"/>
          <w:sz w:val="18"/>
        </w:rPr>
        <w:t>Jöud AS et al.  ·  BMC Health Serv Res  ·  10.07.2026  ·  PMID 42432642</w:t>
      </w:r>
    </w:p>
    <w:p>
      <w:r>
        <w:t>Systematische Literaturübersicht bewertete 6 peer-reviewte Computerprognosestudien mit Schwedendaten zur COVID-19-Impfphase 2020–2023.</w:t>
      </w:r>
    </w:p>
    <w:p>
      <w:r>
        <w:rPr>
          <w:b/>
        </w:rPr>
        <w:t xml:space="preserve">Ergebnis: </w:t>
      </w:r>
      <w:r>
        <w:t>Alle 6 Studien zeigten Bayesianische Kalibrierung als Methode, aber keine externe Modellvalidation. Kein einziger Artikel bezog sich auf Politikentscheidungen als primären Forschungskontext. Schluss: Computergestützte Forschung diente Modellentwicklung, nicht Politikunterstützung – Kluft zwischen Forschung und Versorgungsbedarf.</w:t>
      </w:r>
    </w:p>
    <w:p>
      <w:r>
        <w:rPr>
          <w:b/>
          <w:sz w:val="19"/>
        </w:rPr>
        <w:t xml:space="preserve">Übertragbarkeit: </w:t>
      </w:r>
      <w:r>
        <w:rPr>
          <w:sz w:val="19"/>
        </w:rPr>
        <w:t>Schweden, zeigte methodische Lücke bei Verankerung von Forschung in Versorgungspraxis</w:t>
      </w:r>
    </w:p>
    <w:p>
      <w:r>
        <w:rPr>
          <w:color w:val="5A7D3A"/>
          <w:sz w:val="18"/>
        </w:rPr>
        <w:t>https://pubmed.ncbi.nlm.nih.gov/42432642/</w:t>
      </w:r>
    </w:p>
    <w:p>
      <w:pPr>
        <w:pStyle w:val="Heading2"/>
      </w:pPr>
      <w:r>
        <w:t>PCV21 kosteneffektiver als PCV20 in Dänemarks Pneumokokken-Impfprogramm</w:t>
      </w:r>
    </w:p>
    <w:p>
      <w:r>
        <w:rPr>
          <w:i/>
          <w:color w:val="666666"/>
          <w:sz w:val="18"/>
        </w:rPr>
        <w:t>Sharomi O et al.  ·  Expert Rev Pharmacoecon Outcomes Res  ·  10.07.2026  ·  PMID 42421526</w:t>
      </w:r>
    </w:p>
    <w:p>
      <w:r>
        <w:t>Dänemark: Modellanalyse verglich 100-Jahres-Gesundheitsfolgen von PCV21- vs. PCV20-Programm für Erwachsene ≥65 Jahre.</w:t>
      </w:r>
    </w:p>
    <w:p>
      <w:r>
        <w:rPr>
          <w:b/>
        </w:rPr>
        <w:t xml:space="preserve">Ergebnis: </w:t>
      </w:r>
      <w:r>
        <w:t>PCV21 gegenüber PCV20: 29309 NBPP-Fälle, 627 IPD-Fälle und 1312 Todesfälle vermieden über 100 Jahre. 835,2 Mio. dänische Kronen Kosteneinsparung, 759 QALY-Gewinn. ICER-Wert zeigt kostenspannung dominante Strategie (dominant = Einsparungen + bessere Outcomes).</w:t>
      </w:r>
    </w:p>
    <w:p>
      <w:r>
        <w:rPr>
          <w:b/>
          <w:sz w:val="19"/>
        </w:rPr>
        <w:t xml:space="preserve">Übertragbarkeit: </w:t>
      </w:r>
      <w:r>
        <w:rPr>
          <w:sz w:val="19"/>
        </w:rPr>
        <w:t>Dänemark, vergleichbares nordeuropäisches Versicherungssystem und Impfkalender</w:t>
      </w:r>
    </w:p>
    <w:p>
      <w:r>
        <w:rPr>
          <w:color w:val="5A7D3A"/>
          <w:sz w:val="18"/>
        </w:rPr>
        <w:t>https://pubmed.ncbi.nlm.nih.gov/42421526/</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p>
      <w:pPr>
        <w:pStyle w:val="Heading1"/>
      </w:pPr>
      <w:r>
        <w:t>Aufgenommen am 04.09.2026</w:t>
      </w:r>
    </w:p>
    <w:p>
      <w:pPr>
        <w:pStyle w:val="Heading2"/>
      </w:pPr>
      <w:r>
        <w:t>HPV-Impfbewusstsein in indigenen Gemeinschaften Kanadas niedrig</w:t>
      </w:r>
    </w:p>
    <w:p>
      <w:r>
        <w:rPr>
          <w:i/>
          <w:color w:val="666666"/>
          <w:sz w:val="18"/>
        </w:rPr>
        <w:t>Omidimorad A et al.  ·  PLoS One  ·  03.09.2026  ·  PMID 42691150</w:t>
      </w:r>
    </w:p>
    <w:p>
      <w:r>
        <w:t>Community-based participatory research in 11 indigenen Gemeinschaften der Northwest Territories (Kanada, n=221 Erwachsene ≥18 Jahre): Quantitative und qualitative Befragung zu HPV- und HPV-Impfbewusstsein; Multiple logistische Regression und thematische Analyse zu Nicht-Impfungs-Gründen.</w:t>
      </w:r>
    </w:p>
    <w:p>
      <w:r>
        <w:rPr>
          <w:b/>
        </w:rPr>
        <w:t xml:space="preserve">Ergebnis: </w:t>
      </w:r>
      <w:r>
        <w:t>Etwa 50% hatten von HPV gehört, &lt;1/3 von HPV-Impfstoff. Bildung signifikant assoziiert: Niedrigere Bildung → niedrigeres HPV-Bewusstsein (p&lt;0,001). Alter, Geschlecht, Bildung prädizieren Impfstoff-Bewusstsein (Frauen, höhere Bildung, jünger: höher). Nur 26,3% der Geimpften ≤26 Jahre. Qualitativ: Mangelndes Wissen und unzureichende Information sind Hauptbarrieren.</w:t>
      </w:r>
    </w:p>
    <w:p>
      <w:r>
        <w:rPr>
          <w:b/>
          <w:sz w:val="19"/>
        </w:rPr>
        <w:t xml:space="preserve">Übertragbarkeit: </w:t>
      </w:r>
      <w:r>
        <w:rPr>
          <w:sz w:val="19"/>
        </w:rPr>
        <w:t>Kanada, indigene Populations-spezifik; Lessons für deutsche Gesundheitsungleichheit relevant.</w:t>
      </w:r>
    </w:p>
    <w:p>
      <w:r>
        <w:rPr>
          <w:color w:val="5A7D3A"/>
          <w:sz w:val="18"/>
        </w:rPr>
        <w:t>https://pubmed.ncbi.nlm.nih.gov/42691150/</w:t>
      </w:r>
    </w:p>
    <w:p>
      <w:pPr>
        <w:pStyle w:val="Heading2"/>
      </w:pPr>
      <w:r>
        <w:t>Peer-Education durch Medizinstudierende steigert HPV-Impfwissen bei japanischen Jugendlichen</w:t>
      </w:r>
    </w:p>
    <w:p>
      <w:r>
        <w:rPr>
          <w:i/>
          <w:color w:val="666666"/>
          <w:sz w:val="18"/>
        </w:rPr>
        <w:t>Nakajima K et al.  ·  Hum Vaccin Immunother  ·  02.09.2026  ·  PMID 42687414</w:t>
      </w:r>
    </w:p>
    <w:p>
      <w:r>
        <w:t>Explorative Interventionsstudie (Feb 2022–März 2024): Medizinstudierende gaben 1-Stunden-Schulungen zu HPV-Transmission, Gebärmutterhalskrebs-Prävention und Impfwirksamkeit in japanischen Schulen; Folgeerhebung 1–2 Wochen später zu Wissen, Haltung und Impfverhalten.</w:t>
      </w:r>
    </w:p>
    <w:p>
      <w:r>
        <w:rPr>
          <w:b/>
        </w:rPr>
        <w:t xml:space="preserve">Ergebnis: </w:t>
      </w:r>
      <w:r>
        <w:t>864 Schüler teilgenommen, 332 gefolgt. Von 248 Ungeimpften vor Session: 10 Mädchen (7,5%) und 1 Junge (0,9%) erhielten HPV-Impfung innerhalb von 2 Wochen. Schüler mit positiver Impfabsicht zeigten höhere Verständnis-Scores. Geimpfte identifizierten HPV-verhinderbare Krebsarten häufiger korrekt.</w:t>
      </w:r>
    </w:p>
    <w:p>
      <w:r>
        <w:rPr>
          <w:b/>
          <w:sz w:val="19"/>
        </w:rPr>
        <w:t xml:space="preserve">Übertragbarkeit: </w:t>
      </w:r>
      <w:r>
        <w:rPr>
          <w:sz w:val="19"/>
        </w:rPr>
        <w:t>Japan-Daten; Near-Peer-Modell könnte für deutsches Schulimpf-Setting adaptierbar sein.</w:t>
      </w:r>
    </w:p>
    <w:p>
      <w:r>
        <w:rPr>
          <w:color w:val="5A7D3A"/>
          <w:sz w:val="18"/>
        </w:rPr>
        <w:t>https://pubmed.ncbi.nlm.nih.gov/42687414/</w:t>
      </w:r>
    </w:p>
    <w:p>
      <w:pPr>
        <w:pStyle w:val="Heading2"/>
      </w:pPr>
      <w:r>
        <w:t>HPV-Impfbereitschaft bei Eltern in ethnischen Autonomie-Bezirken Chinas</w:t>
      </w:r>
    </w:p>
    <w:p>
      <w:r>
        <w:rPr>
          <w:i/>
          <w:color w:val="666666"/>
          <w:sz w:val="18"/>
        </w:rPr>
        <w:t>Li X et al.  ·  Hum Vaccin Immunother  ·  01.09.2026  ·  PMID 42678389</w:t>
      </w:r>
    </w:p>
    <w:p>
      <w:r>
        <w:t>Querschnittsbefragung in Qinghai-Provinz (Dezember 2024–Februar 2025): Erziehungsberechtigte von Schulkindern zu HPV-Impfbereitschaft; Theorien: Health Belief Model und Theory of Planned Behavior (TPB); Hierarchische Regressionsmodelle.</w:t>
      </w:r>
    </w:p>
    <w:p>
      <w:r>
        <w:rPr>
          <w:b/>
        </w:rPr>
        <w:t xml:space="preserve">Ergebnis: </w:t>
      </w:r>
      <w:r>
        <w:t>Hui-Ethnie vs. Han-Ethnie: niedrigere Impfbereitschaft (B=−0,229, p=0,003). Positive Assoziationen mit: Aktionsimpulsen (β=0,121), wahrgenommenen Barrieren (β=0,128), Einstellungen (β=0,203), wahrgenommenem Verhaltenskontrolle (β=0,107), Subjektiven Normen (β=0,323). Bildung und mittleres Einkommen prädizierten höhere Bereitschaft.</w:t>
      </w:r>
    </w:p>
    <w:p>
      <w:r>
        <w:rPr>
          <w:b/>
          <w:sz w:val="19"/>
        </w:rPr>
        <w:t xml:space="preserve">Übertragbarkeit: </w:t>
      </w:r>
      <w:r>
        <w:rPr>
          <w:sz w:val="19"/>
        </w:rPr>
        <w:t>China, kollektive Health-Literacy-Strukturen; Barrieren für deutsche Migrantengruppen vergleichbar.</w:t>
      </w:r>
    </w:p>
    <w:p>
      <w:r>
        <w:rPr>
          <w:color w:val="5A7D3A"/>
          <w:sz w:val="18"/>
        </w:rPr>
        <w:t>https://pubmed.ncbi.nlm.nih.gov/42678389/</w:t>
      </w:r>
    </w:p>
    <w:p>
      <w:pPr>
        <w:pStyle w:val="Heading2"/>
      </w:pPr>
      <w:r>
        <w:t>Geospatial mapping reveals Zero-Dose concentrations in low- und lower-middle-income countries</w:t>
      </w:r>
    </w:p>
    <w:p>
      <w:r>
        <w:rPr>
          <w:i/>
          <w:color w:val="666666"/>
          <w:sz w:val="18"/>
        </w:rPr>
        <w:t>Njogu AM et al.  ·  Vaccine  ·  30.08.2026  ·  PMID 42442083</w:t>
      </w:r>
    </w:p>
    <w:p>
      <w:r>
        <w:t>Scoping Review zu räumlichen Modellierungsmethoden für Impfquoten in Ländern mit niedrigem Einkommen: 102 Artikel analysiert, hauptsächlich zu Routineimpfungen; nur 19,6% zu Zero-Dose-Prävalenz.</w:t>
      </w:r>
    </w:p>
    <w:p>
      <w:r>
        <w:rPr>
          <w:b/>
        </w:rPr>
        <w:t xml:space="preserve">Ergebnis: </w:t>
      </w:r>
      <w:r>
        <w:t>70% der Studien stammen aus 2021-2024. Die meisten nutzen Befragungsdaten statt Routinedaten. Größte Defizite: uneinheitliche Zero-Dose-Definitionen, begrenzte Routinedaten-Nutzung, Unterrepräsentation marginalisierter Gruppen. Geospatiale Kartierung expandiert, aber explorativ statt präzise genug zum gezielten Targeting.</w:t>
      </w:r>
    </w:p>
    <w:p>
      <w:r>
        <w:rPr>
          <w:b/>
          <w:sz w:val="19"/>
        </w:rPr>
        <w:t xml:space="preserve">Übertragbarkeit: </w:t>
      </w:r>
      <w:r>
        <w:rPr>
          <w:sz w:val="19"/>
        </w:rPr>
        <w:t>Entwicklungsländer-Fokus; Erkenntnisse für deutsche Registerentwicklung nicht direkt übertragbar.</w:t>
      </w:r>
    </w:p>
    <w:p>
      <w:r>
        <w:rPr>
          <w:color w:val="5A7D3A"/>
          <w:sz w:val="18"/>
        </w:rPr>
        <w:t>https://pubmed.ncbi.nlm.nih.gov/42442083/</w:t>
      </w:r>
    </w:p>
    <w:p>
      <w:pPr>
        <w:pStyle w:val="Heading2"/>
      </w:pPr>
      <w:r>
        <w:t>Antikörperpersistenz nach Kinderimpfungen mit maternaler Tdap-Exposition</w:t>
      </w:r>
    </w:p>
    <w:p>
      <w:r>
        <w:rPr>
          <w:i/>
          <w:color w:val="666666"/>
          <w:sz w:val="18"/>
        </w:rPr>
        <w:t>De Weerdt L et al.  ·  Vaccine  ·  13.08.2026  ·  PMID 42430876</w:t>
      </w:r>
    </w:p>
    <w:p>
      <w:r>
        <w:t>Längsschnittstudie an belgischen Kindern (Term und Frühgeborene) zu Antikörperpersistenz nach sechsvalenter DTaP-IPV-HB-PRP-Impfung und Antwort auf Auffrischung im Schulalter; Maternale Tdap-Impfung während Schwangerschaft als Exposition.</w:t>
      </w:r>
    </w:p>
    <w:p>
      <w:r>
        <w:rPr>
          <w:b/>
        </w:rPr>
        <w:t xml:space="preserve">Ergebnis: </w:t>
      </w:r>
      <w:r>
        <w:t>128 Kinder bei 3 Jahren, 106 bei 5 Jahren, 94 mit Schulauffrischung. Antikörperspiegel sanken zwischen Jahr 3 und 5, Schutzraten blieben hoch (außer Anti-HB: sinkend). Nach Auffrischung: 100% Seroschutz für Diphtherie/Tetanus/Polio Typ 1, ≥96% für Polio Typ 2+3, ≥93% Pertussis-Serokonversion. Maternale Tdap-Strategie wird gestützt.</w:t>
      </w:r>
    </w:p>
    <w:p>
      <w:r>
        <w:rPr>
          <w:b/>
          <w:sz w:val="19"/>
        </w:rPr>
        <w:t xml:space="preserve">Übertragbarkeit: </w:t>
      </w:r>
      <w:r>
        <w:rPr>
          <w:sz w:val="19"/>
        </w:rPr>
        <w:t>Belgien, vergleichbares Versicherungssystem; Impfkalender-Struktur ähnlich.</w:t>
      </w:r>
    </w:p>
    <w:p>
      <w:r>
        <w:rPr>
          <w:color w:val="5A7D3A"/>
          <w:sz w:val="18"/>
        </w:rPr>
        <w:t>https://pubmed.ncbi.nlm.nih.gov/42430876/</w:t>
      </w:r>
    </w:p>
    <w:p>
      <w:pPr>
        <w:pStyle w:val="Heading2"/>
      </w:pPr>
      <w:r>
        <w:t>COVID-19-Impfakzeptanz variiert nach Herkunftsregion in Schweden</w:t>
      </w:r>
    </w:p>
    <w:p>
      <w:r>
        <w:rPr>
          <w:i/>
          <w:color w:val="666666"/>
          <w:sz w:val="18"/>
        </w:rPr>
        <w:t>Hassan M et al.  ·  Front Public Health  ·  24.06.2026  ·  PMID 42422674</w:t>
      </w:r>
    </w:p>
    <w:p>
      <w:r>
        <w:t>Querschnittsbefragung in Schweden (n=3.281) zur COVID-19-Impfbereitschaft stratifiziert nach Geburtsregion: Schweden, Westländer, Nicht-Westländer. Sechs Domänen (Vertrauensdomänen, Normen, Erreichbarkeit) gemessen.</w:t>
      </w:r>
    </w:p>
    <w:p>
      <w:r>
        <w:rPr>
          <w:b/>
        </w:rPr>
        <w:t xml:space="preserve">Ergebnis: </w:t>
      </w:r>
      <w:r>
        <w:t>Geimpfte aus Schweden und Westländern hatten 9,5 bzw. 8,9 Punkte höhere Akzeptanzscores als Ungeimpfte; bei Nicht-Westländern nur 2,8 Punkte Unterschied. Bei Schweden/Westländern: ‚Deskriptive Normen' und ‚Vertrauen in Impfstoffe' stärkste Prädiktoren (OR 2,5–3,6). Bei Nicht-Westländern nur ‚Vertrauen' und ‚Nutzen-Risiko' relevant (OR 1,6–1,7).</w:t>
      </w:r>
    </w:p>
    <w:p>
      <w:r>
        <w:rPr>
          <w:b/>
          <w:sz w:val="19"/>
        </w:rPr>
        <w:t xml:space="preserve">Übertragbarkeit: </w:t>
      </w:r>
      <w:r>
        <w:rPr>
          <w:sz w:val="19"/>
        </w:rPr>
        <w:t>Skandinavien, Public-Health-System ähnlich; zeigt Defizit bei Migranten-Outreach.</w:t>
      </w:r>
    </w:p>
    <w:p>
      <w:r>
        <w:rPr>
          <w:color w:val="5A7D3A"/>
          <w:sz w:val="18"/>
        </w:rPr>
        <w:t>https://pubmed.ncbi.nlm.nih.gov/42422674/</w:t>
      </w:r>
    </w:p>
    <w:p>
      <w:pPr>
        <w:pStyle w:val="Heading1"/>
      </w:pPr>
      <w:r>
        <w:t>Aufgenommen am 03.09.2026</w:t>
      </w:r>
    </w:p>
    <w:p>
      <w:pPr>
        <w:pStyle w:val="Heading2"/>
      </w:pPr>
      <w:r>
        <w:t>Grippeimpf-Bewusstsein und -Quote bei Frauen im gebärfähigen Alter in Shanghai</w:t>
      </w:r>
    </w:p>
    <w:p>
      <w:r>
        <w:rPr>
          <w:i/>
          <w:color w:val="666666"/>
          <w:sz w:val="18"/>
        </w:rPr>
        <w:t>Liu P et al.  ·  Hum Vaccin Immunother  ·  16.07.2026  ·  PMID 42684141</w:t>
      </w:r>
    </w:p>
    <w:p>
      <w:r>
        <w:t>Bevölkerungsbasierte Querschnittsstudie zur Impfbereitschaft gegen Influenza bei Frauen im Alter von 15–49 Jahren in Shanghai (Pudong), einschließlich Schwangerenszenarien.</w:t>
      </w:r>
    </w:p>
    <w:p>
      <w:r>
        <w:rPr>
          <w:b/>
        </w:rPr>
        <w:t xml:space="preserve">Ergebnis: </w:t>
      </w:r>
      <w:r>
        <w:t>Wissenswert: 60,61 % zu Influenza, 56,46 % zu Grippeimpfstoff. Gesundheitsberufe hatten höchste Kompetenz. Bei hypothetischer Schwangerschaft: Injektionspräferenz fiel von 41,25 % auf 13,31 %, Nasenspray stieg von 10,60 % auf 23,17 %, Ablehnung von 10,19 % auf 35,58 %. Schwangere bevorzugten Nasenspray (41,67 %). 87,63 % würden Empfehlungen von Frauenärzten folgen.</w:t>
      </w:r>
    </w:p>
    <w:p>
      <w:r>
        <w:rPr>
          <w:b/>
          <w:sz w:val="19"/>
        </w:rPr>
        <w:t xml:space="preserve">Übertragbarkeit: </w:t>
      </w:r>
      <w:r>
        <w:rPr>
          <w:sz w:val="19"/>
        </w:rPr>
        <w:t>China, aber zeigt Muster zur Impfentscheidung in Schwangerschaft anwendbar auf deutsche Kommunikation</w:t>
      </w:r>
    </w:p>
    <w:p>
      <w:r>
        <w:rPr>
          <w:color w:val="5A7D3A"/>
          <w:sz w:val="18"/>
        </w:rPr>
        <w:t>https://pubmed.ncbi.nlm.nih.gov/42684141/</w:t>
      </w:r>
    </w:p>
    <w:p>
      <w:pPr>
        <w:pStyle w:val="Heading2"/>
      </w:pPr>
      <w:r>
        <w:t>Influenza-Impfquoten bei Ärztinnen und Pflegekräften: Deutschland und China im Vergleich</w:t>
      </w:r>
    </w:p>
    <w:p>
      <w:r>
        <w:rPr>
          <w:i/>
          <w:color w:val="666666"/>
          <w:sz w:val="18"/>
        </w:rPr>
        <w:t>Sanftenberg L et al.  ·  BMC Public Health  ·  01.09.2026  ·  PMID 42681616</w:t>
      </w:r>
    </w:p>
    <w:p>
      <w:r>
        <w:t>Vergleichende Querschnittsstudie zu psychologischen und strukturellen Barrieren für die Grippeimpfung bei Gesundheitspersonal in Deutschland (8.351 Arbeitskräfte, 72 Krankenhäuser) und China (689 Arbeitskräfte, 9 Krankenhäuser) 2024–2025.</w:t>
      </w:r>
    </w:p>
    <w:p>
      <w:r>
        <w:rPr>
          <w:b/>
        </w:rPr>
        <w:t xml:space="preserve">Ergebnis: </w:t>
      </w:r>
      <w:r>
        <w:t>Deutsche Ärzte: 80,9 % geimpft, deutsche Pflegekräfte 48,7 %; chinesische Ärzte: 28,8 %, chinesische Pflegekräfte 32,2 %. Vertrauen und Eigenverantwortung waren wichtige Treiber in beiden Ländern. Deutsche Profis nannten individuelle Gründe für Ablehnung, chinesische hingegen Hürden in der Einrichtung (Zeitmangel). Effektive Interventionen: kostenlose Impfung, Bildung, organisatorische Maßnahmen.</w:t>
      </w:r>
    </w:p>
    <w:p>
      <w:r>
        <w:rPr>
          <w:b/>
          <w:sz w:val="19"/>
        </w:rPr>
        <w:t xml:space="preserve">Übertragbarkeit: </w:t>
      </w:r>
      <w:r>
        <w:rPr>
          <w:sz w:val="19"/>
        </w:rPr>
        <w:t>Deutsche Klinikdaten, vergleichbares Versicherungssystem und Gesundheitsberuferegeln</w:t>
      </w:r>
    </w:p>
    <w:p>
      <w:r>
        <w:rPr>
          <w:color w:val="5A7D3A"/>
          <w:sz w:val="18"/>
        </w:rPr>
        <w:t>https://pubmed.ncbi.nlm.nih.gov/42681616/</w:t>
      </w:r>
    </w:p>
    <w:p>
      <w:pPr>
        <w:pStyle w:val="Heading2"/>
      </w:pPr>
      <w:r>
        <w:t>COVID-19-Impfung bei fortgeschrittenem Lungenkarzinom und Immuntherapie: Real-World-Daten aus Rumänien</w:t>
      </w:r>
    </w:p>
    <w:p>
      <w:r>
        <w:rPr>
          <w:i/>
          <w:color w:val="666666"/>
          <w:sz w:val="18"/>
        </w:rPr>
        <w:t>Gheorghiță V et al.  ·  Medicina (Kaunas)  ·  18.08.2026  ·  PMID 42654486</w:t>
      </w:r>
    </w:p>
    <w:p>
      <w:r>
        <w:t>Retrospektive Kohortenstudie an 139 Patienten mit Stadium-IV-Nicht-Kleinzellkarzinom, die Immun-Checkpoint-Inhibitoren erhielten, stratifiziert nach COVID-19-Impfstatus (0–1 vs. ≥2 Dosen).</w:t>
      </w:r>
    </w:p>
    <w:p>
      <w:r>
        <w:rPr>
          <w:b/>
        </w:rPr>
        <w:t xml:space="preserve">Ergebnis: </w:t>
      </w:r>
      <w:r>
        <w:t>Geimpfte Patienten: längeres progressionsfreies Überleben (13,0 vs. 11,0 Monate) und Gesamtüberleben (29,0 vs. 24,0 Monate; beide p&lt;0,001). Nach Multivariablenkalibrierung abgeschwächt, aber Grenzwertbereich (OS HR=0,83; PFS HR=0,79). ≥2 Dosen assoziiert mit besseren Ergebnissen (PFS 14,0 vs. 12,0 Monate, OS 30,0 vs. 24,0 Monate). Höhere Odds für Grad-1/2-Toxizität mit ≥2 Dosen (OR=2,47, p=0,037), aber keine Grade-4/5-Ereignisse.</w:t>
      </w:r>
    </w:p>
    <w:p>
      <w:r>
        <w:rPr>
          <w:b/>
          <w:sz w:val="19"/>
        </w:rPr>
        <w:t xml:space="preserve">Übertragbarkeit: </w:t>
      </w:r>
      <w:r>
        <w:rPr>
          <w:sz w:val="19"/>
        </w:rPr>
        <w:t>Rumänien, aber Sicherheit in vulnerabler Patientengruppe mit Immuntherapie untersucht</w:t>
      </w:r>
    </w:p>
    <w:p>
      <w:r>
        <w:rPr>
          <w:color w:val="5A7D3A"/>
          <w:sz w:val="18"/>
        </w:rPr>
        <w:t>https://pubmed.ncbi.nlm.nih.gov/42654486/</w:t>
      </w:r>
    </w:p>
    <w:p>
      <w:pPr>
        <w:pStyle w:val="Heading2"/>
      </w:pPr>
      <w:r>
        <w:t>Jennerian-Vakzination in Europa (1799–1810): Transnational verbreitete Arznei und Wissen</w:t>
      </w:r>
    </w:p>
    <w:p>
      <w:r>
        <w:rPr>
          <w:i/>
          <w:color w:val="666666"/>
          <w:sz w:val="18"/>
        </w:rPr>
        <w:t>Tuells J  ·  Vaccine  ·  17.09.2026  ·  PMID 42600246</w:t>
      </w:r>
    </w:p>
    <w:p>
      <w:r>
        <w:t>Historische Studie zur frühen Verbreitung der Kuhpockenvakzination in Europa durch ein Netzwerk von Ärzten, anhand von Korrespondenz und Materialflüssen zwischen London, Wien und Genf.</w:t>
      </w:r>
    </w:p>
    <w:p>
      <w:r>
        <w:rPr>
          <w:b/>
        </w:rPr>
        <w:t xml:space="preserve">Ergebnis: </w:t>
      </w:r>
      <w:r>
        <w:t>Jean de Carro, ein Genfer Arzt in Wien, fungierte als Vermittler für die Verbreitung von Vakzinationswissen und Impfstoff-Lymphe. Das Netzwerk ermöglichte die rasche Ausbreitung von 1799 bis 1810 in Richtung Ottomanisches Reich und Indien. Vakzination verbreitete sich nicht allein durch staatliche Kampagnen, sondern durch transnationale ärztliche Netzwerke.</w:t>
      </w:r>
    </w:p>
    <w:p>
      <w:r>
        <w:rPr>
          <w:b/>
          <w:sz w:val="19"/>
        </w:rPr>
        <w:t xml:space="preserve">Übertragbarkeit: </w:t>
      </w:r>
      <w:r>
        <w:rPr>
          <w:sz w:val="19"/>
        </w:rPr>
        <w:t>Historische Perspektive auf Vakzinationsverbreitung durch Netzwerke und persönliche Verbindungen</w:t>
      </w:r>
    </w:p>
    <w:p>
      <w:r>
        <w:rPr>
          <w:color w:val="5A7D3A"/>
          <w:sz w:val="18"/>
        </w:rPr>
        <w:t>https://pubmed.ncbi.nlm.nih.gov/42600246/</w:t>
      </w:r>
    </w:p>
    <w:p>
      <w:pPr>
        <w:pStyle w:val="Heading2"/>
      </w:pPr>
      <w:r>
        <w:t>Mütterliche Sechsfach-Streptococcus-B-Impfung: Phase-1/2-Studie bei nicht-schwangeren und schwangeren Frauen</w:t>
      </w:r>
    </w:p>
    <w:p>
      <w:r>
        <w:rPr>
          <w:i/>
          <w:color w:val="666666"/>
          <w:sz w:val="18"/>
        </w:rPr>
        <w:t>Madhi SA et al.  ·  Nat Med  ·  28.07.2026  ·  PMID 42521820</w:t>
      </w:r>
    </w:p>
    <w:p>
      <w:r>
        <w:t>Randomisierte Phase-1/2-Studie zur Sicherheit, Verträglichkeit und Immunogenität einer hexavalenten Polysaccharid-Protein-Konjugat-GBS-Vakzine (GBS6) in nicht-schwangeren Frauen und schwangeren Frauen sowie deren Neugeborenen.</w:t>
      </w:r>
    </w:p>
    <w:p>
      <w:r>
        <w:rPr>
          <w:b/>
        </w:rPr>
        <w:t xml:space="preserve">Ergebnis: </w:t>
      </w:r>
      <w:r>
        <w:t>Stadium 1 (n=66 nicht-schwanger): GBS6, GBS6+AlPO4 oder Placebo. Subgruppe erhielt Booster ~2 Jahre später. Stadium 3 (n=216 schwanger, 209 Neugeborene): GBS6 oder Placebo (Woche 24–36 Schwangerschaft). Fast alle Reaktogenizität-Ereignisse mild oder moderat. SAE/MAE ähnlich zwischen GBS6 und Placebo bei Müttern und Neugeborenen. GBS6 induzierte robuste Immunantworten; serotyp-spezifische Antikörper in Neugeborenen, deren Mütter GBS6 erhielten. Zwei neonatale Sepsis-Todesfälle (je einer in GBS6 und Placebo), keiner als vakzine-bedingt bewertet.</w:t>
      </w:r>
    </w:p>
    <w:p>
      <w:r>
        <w:rPr>
          <w:b/>
          <w:sz w:val="19"/>
        </w:rPr>
        <w:t xml:space="preserve">Übertragbarkeit: </w:t>
      </w:r>
      <w:r>
        <w:rPr>
          <w:sz w:val="19"/>
        </w:rPr>
        <w:t>Südafrika, USA, UK – erste klinische Daten zu maternaler GBS-Vakzination für neonatalen Schutz</w:t>
      </w:r>
    </w:p>
    <w:p>
      <w:r>
        <w:rPr>
          <w:color w:val="5A7D3A"/>
          <w:sz w:val="18"/>
        </w:rPr>
        <w:t>https://pubmed.ncbi.nlm.nih.gov/42521820/</w:t>
      </w:r>
    </w:p>
    <w:p>
      <w:pPr>
        <w:pStyle w:val="Heading2"/>
      </w:pPr>
      <w:r>
        <w:t>Hochdosis-Grippeimpfstoff in Spanien: Einführung, Anwendung und Evidenz</w:t>
      </w:r>
    </w:p>
    <w:p>
      <w:r>
        <w:rPr>
          <w:i/>
          <w:color w:val="666666"/>
          <w:sz w:val="18"/>
        </w:rPr>
        <w:t>Sanz-Muñoz I et al.  ·  Front Immunol  ·  30.06.2026  ·  PMID 42454050</w:t>
      </w:r>
    </w:p>
    <w:p>
      <w:r>
        <w:t>Narrative Synthese der klinischen Evidenz und Analyse von Vakzinierungsstrategien in spanischen autonomen Gemeinschaften seit Einführung von Hochdosis-Grippeimpfstoffen während der COVID-19-Pandemie.</w:t>
      </w:r>
    </w:p>
    <w:p>
      <w:r>
        <w:rPr>
          <w:b/>
        </w:rPr>
        <w:t xml:space="preserve">Ergebnis: </w:t>
      </w:r>
      <w:r>
        <w:t>Hochdosis-Grippeimpfstoffe zeigen überlegene Effektivität gegen schwere Influenza, Lungenentzündung und Mortalität bei Erwachsenen ≥60 Jahren in randomisierten Studien und Real-World-Daten. Heterogene regionale Aufnahme: manche Regionen priorisierten Institutionalisierte, andere erweiterten auf Community-Bewohner ≥60 Jahre. Trend zu breiter Adoption und Senkung des Altersgrenzwerts.</w:t>
      </w:r>
    </w:p>
    <w:p>
      <w:r>
        <w:rPr>
          <w:b/>
          <w:sz w:val="19"/>
        </w:rPr>
        <w:t xml:space="preserve">Übertragbarkeit: </w:t>
      </w:r>
      <w:r>
        <w:rPr>
          <w:sz w:val="19"/>
        </w:rPr>
        <w:t>Spanien, vergleichbare Gesundheitssysteme in Europa und Altersstruktur-Problematik</w:t>
      </w:r>
    </w:p>
    <w:p>
      <w:r>
        <w:rPr>
          <w:color w:val="5A7D3A"/>
          <w:sz w:val="18"/>
        </w:rPr>
        <w:t>https://pubmed.ncbi.nlm.nih.gov/42454050/</w:t>
      </w:r>
    </w:p>
    <w:p>
      <w:pPr>
        <w:pStyle w:val="Heading1"/>
      </w:pPr>
      <w:r>
        <w:t>Aufgenommen am 02.09.2026</w:t>
      </w:r>
    </w:p>
    <w:p>
      <w:pPr>
        <w:pStyle w:val="Heading2"/>
      </w:pPr>
      <w:r>
        <w:t>Grippeimpfstoff-Wirksamkeit gegen mild und schwer verlaufende Infektionen in Portugal</w:t>
      </w:r>
    </w:p>
    <w:p>
      <w:r>
        <w:rPr>
          <w:i/>
          <w:color w:val="666666"/>
          <w:sz w:val="18"/>
        </w:rPr>
        <w:t>Mourao F et al.  ·  Influenza Other Respir Viruses  ·  Sept. 2026  ·  PMID 42675936</w:t>
      </w:r>
    </w:p>
    <w:p>
      <w:r>
        <w:t>Testvergleichsstudie an 3.393 PCR-getesteten Patienten in Portugal (2015/16–2023/24) zur Grippeimpfstoff-Effektivität (IVE) gegen leichte und schwere Erkrankung.</w:t>
      </w:r>
    </w:p>
    <w:p>
      <w:r>
        <w:rPr>
          <w:b/>
        </w:rPr>
        <w:t xml:space="preserve">Ergebnis: </w:t>
      </w:r>
      <w:r>
        <w:t>IVE betrug 40,4 % (KI 22,7–54,0) bei ambulanten Patienten und 38,7 % (KI 17,6–54,5) bei hospitalisierten Fällen; Unterschied von 1,7 % war statistisch nicht signifikant (KI −22,0; 26,8). Keine relevanten Unterschiede in Subgruppen (≥65 Jahre, Komorbiditäten, Influenza-A-Subtypen). Impfstoff schützt über Versorgungssettings hinweg ähnlich gut.</w:t>
      </w:r>
    </w:p>
    <w:p>
      <w:r>
        <w:rPr>
          <w:b/>
          <w:sz w:val="19"/>
        </w:rPr>
        <w:t xml:space="preserve">Übertragbarkeit: </w:t>
      </w:r>
      <w:r>
        <w:rPr>
          <w:sz w:val="19"/>
        </w:rPr>
        <w:t>Portugal, EU-Nachbarland, Gesundheitssystem vergleichbar mit Deutschland</w:t>
      </w:r>
    </w:p>
    <w:p>
      <w:r>
        <w:rPr>
          <w:color w:val="5A7D3A"/>
          <w:sz w:val="18"/>
        </w:rPr>
        <w:t>https://pubmed.ncbi.nlm.nih.gov/42675936/</w:t>
      </w:r>
    </w:p>
    <w:p>
      <w:pPr>
        <w:pStyle w:val="Heading2"/>
      </w:pPr>
      <w:r>
        <w:t>HPV-Impfprogramme weltweit: Schulgebundenes Impfen erzielte höchste Quoten</w:t>
      </w:r>
    </w:p>
    <w:p>
      <w:r>
        <w:rPr>
          <w:i/>
          <w:color w:val="666666"/>
          <w:sz w:val="18"/>
        </w:rPr>
        <w:t>Kyei GK et al.  ·  J Nurs Scholarsh  ·  Sept. 2026  ·  PMID 42670010</w:t>
      </w:r>
    </w:p>
    <w:p>
      <w:r>
        <w:t>Qualitative Vergleichsanalyse von HPV-Impfrichtlinien in acht Ländern (Australien, Brasilien, Japan, Nigeria, Ruanda, Schweden, Großbritannien, USA) zur Identifikation von Einflussfaktoren auf Impfquoten.</w:t>
      </w:r>
    </w:p>
    <w:p>
      <w:r>
        <w:rPr>
          <w:b/>
        </w:rPr>
        <w:t xml:space="preserve">Ergebnis: </w:t>
      </w:r>
      <w:r>
        <w:t>Fünf Programmarchetypen identifiziert. Schulgebundene universelle Programme mit Pflegekräfte-Unterstützung erzielten höchste und gerechteste Abdeckung. Ruanda erreichte trotz Mädchen-fokussiertem, Donor-finanziertem Modell 98 % (Governance und Vertrauen überwogen Programmdesign). Transition zu Ein-Dosis-Impfung erfordert landesspezifische Anpassung.</w:t>
      </w:r>
    </w:p>
    <w:p>
      <w:r>
        <w:rPr>
          <w:b/>
          <w:sz w:val="19"/>
        </w:rPr>
        <w:t xml:space="preserve">Übertragbarkeit: </w:t>
      </w:r>
      <w:r>
        <w:rPr>
          <w:sz w:val="19"/>
        </w:rPr>
        <w:t>Programm-Vergleich, Strukturmerkmale übertragbar, insbesondere schulbasierte Systeme</w:t>
      </w:r>
    </w:p>
    <w:p>
      <w:r>
        <w:rPr>
          <w:color w:val="5A7D3A"/>
          <w:sz w:val="18"/>
        </w:rPr>
        <w:t>https://pubmed.ncbi.nlm.nih.gov/42670010/</w:t>
      </w:r>
    </w:p>
    <w:p>
      <w:pPr>
        <w:pStyle w:val="Heading2"/>
      </w:pPr>
      <w:r>
        <w:t>ChAdOx1 nCoV-19: Langzeitsicherheit bei 4.470 Probanden über 11,77 Monate</w:t>
      </w:r>
    </w:p>
    <w:p>
      <w:r>
        <w:rPr>
          <w:i/>
          <w:color w:val="666666"/>
          <w:sz w:val="18"/>
        </w:rPr>
        <w:t>Ebrahimi N et al.  ·  Vaccine  ·  13.08.2026  ·  PMID 42472497</w:t>
      </w:r>
    </w:p>
    <w:p>
      <w:r>
        <w:t>Prospektive Kohortenstudie von Probanden aus ChAdOx1-nCoV-19-Originalstudien mit follow-up September 2021–April 2022, Erfassung schwerwiegender unerwünschter Ereignisse (SAE) und Ereignisse von besonderem Interesse (AESI) nach Brighton-Collaboration-Definitionen.</w:t>
      </w:r>
    </w:p>
    <w:p>
      <w:r>
        <w:rPr>
          <w:b/>
        </w:rPr>
        <w:t xml:space="preserve">Ergebnis: </w:t>
      </w:r>
      <w:r>
        <w:t>4.470 Teilnehmer, 3.845 (86,0 %) Studienabschluss. Mediane Nachbeobachtung 11,77 Monate, 48.116 Personenmonate Gesamtnachbeobachtung. 174 SAE und 71 AESI (33 als beide registriert) bei 195 Teilnehmern, darunter 5 Todesfälle. Gesamtimmunglobulin-IgG gegen trimeres SARS-CoV-2-Spike-Protein zeigte Anstiegstendenz während Studie. Keine emergenten Sicherheitssignale; kontinuierliche Pharmakovigilanz bleibt essentiell, besonders für neurologische Störungen.</w:t>
      </w:r>
    </w:p>
    <w:p>
      <w:r>
        <w:rPr>
          <w:b/>
          <w:sz w:val="19"/>
        </w:rPr>
        <w:t xml:space="preserve">Übertragbarkeit: </w:t>
      </w:r>
      <w:r>
        <w:rPr>
          <w:sz w:val="19"/>
        </w:rPr>
        <w:t>Großbritannien, Oxford-Studie, NHS-basierte Kohortenverfolgung, vergleichbar mit deutschen Versorgungsdaten</w:t>
      </w:r>
    </w:p>
    <w:p>
      <w:r>
        <w:rPr>
          <w:color w:val="5A7D3A"/>
          <w:sz w:val="18"/>
        </w:rPr>
        <w:t>https://pubmed.ncbi.nlm.nih.gov/42472497/</w:t>
      </w:r>
    </w:p>
    <w:p>
      <w:pPr>
        <w:pStyle w:val="Heading2"/>
      </w:pPr>
      <w:r>
        <w:t>Hochdosis-Grippeimpfung für Senioren in Skandinavien: Kostenwirksamkeit und Nutzen</w:t>
      </w:r>
    </w:p>
    <w:p>
      <w:r>
        <w:rPr>
          <w:i/>
          <w:color w:val="666666"/>
          <w:sz w:val="18"/>
        </w:rPr>
        <w:t>Grootendorst A et al.  ·  Vaccine  ·  13.08.2026  ·  PMID 42468224</w:t>
      </w:r>
    </w:p>
    <w:p>
      <w:r>
        <w:t>Modellrechnung (Entscheidungsbaum-Influenza-Modell) für vier nordische Länder zum Vergleich nationaler Impfpolitik mit ausgeweitertem Hochdosis-Grippeimpfstoff-Programm für Erwachsene ≥65 Jahre.</w:t>
      </w:r>
    </w:p>
    <w:p>
      <w:r>
        <w:rPr>
          <w:b/>
        </w:rPr>
        <w:t xml:space="preserve">Ergebnis: </w:t>
      </w:r>
      <w:r>
        <w:t>Ausweitung auf alle ≥65-Jährigen würde in Schweden 13.929, Finnland 6.411, Norwegen 5.951 und Dänemark 2.438 symptomatische Fälle verhindern; entsprechend 1.615, 804, 762 bzw. 407 gewonnene Lebensjahre. Hospitalisierungen reduziert um 786, 362, 336 bzw. 138; Zusatzkosten €7,7 Mio (Schweden), €2,5 Mio (Finnland), €4,4 Mio (Norwegen), €2,4 Mio (Dänemark) – vertretbar im Verhältnis zur Gesamtausgaben.</w:t>
      </w:r>
    </w:p>
    <w:p>
      <w:r>
        <w:rPr>
          <w:b/>
          <w:sz w:val="19"/>
        </w:rPr>
        <w:t xml:space="preserve">Übertragbarkeit: </w:t>
      </w:r>
      <w:r>
        <w:rPr>
          <w:sz w:val="19"/>
        </w:rPr>
        <w:t>Skandinavien, Sozialversicherungssysteme vergleichbar mit Deutschland</w:t>
      </w:r>
    </w:p>
    <w:p>
      <w:r>
        <w:rPr>
          <w:color w:val="5A7D3A"/>
          <w:sz w:val="18"/>
        </w:rPr>
        <w:t>https://pubmed.ncbi.nlm.nih.gov/42468224/</w:t>
      </w:r>
    </w:p>
    <w:p>
      <w:pPr>
        <w:pStyle w:val="Heading2"/>
      </w:pPr>
      <w:r>
        <w:t>Bereitschaft zur Cholera-Impfung in sechs afrikanischen Ländern: Psychologische Faktoren und Krankheitsrisiko</w:t>
      </w:r>
    </w:p>
    <w:p>
      <w:r>
        <w:rPr>
          <w:i/>
          <w:color w:val="666666"/>
          <w:sz w:val="18"/>
        </w:rPr>
        <w:t>Geiger M et al.  ·  Vaccine  ·  13.08.2026  ·  PMID 42462676</w:t>
      </w:r>
    </w:p>
    <w:p>
      <w:r>
        <w:t>Querschnittsbefragung von 14.132 englischsprachigen Teilnehmern in Ghana, Kenia, Nigeria, Südafrika, Tansania und Uganda zur Impfbereitschaft gegen Cholera anhand des 7C-Modells (Vertrauen, Unachtsamkeit, Zwänge, Berechnung, kollektive Verantwortung, Einhaltung, Verschwörungsdenken).</w:t>
      </w:r>
    </w:p>
    <w:p>
      <w:r>
        <w:rPr>
          <w:b/>
        </w:rPr>
        <w:t xml:space="preserve">Ergebnis: </w:t>
      </w:r>
      <w:r>
        <w:t>Impfbereitschaft korrelierte stark mit selbstberichteter Cholera-Impfstatus (d = 0,32) und allgemeinem Impfstatus (r = 0,35). Persönliche Cholera-Erfahrung assoziiert mit höherer Bereitschaft (d = 0,14). Auf Länderebene: Durchschnittliche Bereitschaft korrelierte stark mit Cholera-Inzidenz letzte drei Jahre (ρ = 0,89) – höhere Bereitschaft in Ländern mit höherer Krankheitslast.</w:t>
      </w:r>
    </w:p>
    <w:p>
      <w:r>
        <w:rPr>
          <w:b/>
          <w:sz w:val="19"/>
        </w:rPr>
        <w:t xml:space="preserve">Übertragbarkeit: </w:t>
      </w:r>
      <w:r>
        <w:rPr>
          <w:sz w:val="19"/>
        </w:rPr>
        <w:t>Afrika, methodologische Erkenntnis zu Vaccine Hesitancy-Messung in Ländern mit niedrigem Impfniveau</w:t>
      </w:r>
    </w:p>
    <w:p>
      <w:r>
        <w:rPr>
          <w:color w:val="5A7D3A"/>
          <w:sz w:val="18"/>
        </w:rPr>
        <w:t>https://pubmed.ncbi.nlm.nih.gov/42462676/</w:t>
      </w:r>
    </w:p>
    <w:p>
      <w:pPr>
        <w:pStyle w:val="Heading2"/>
      </w:pPr>
      <w:r>
        <w:t>SARS-CoV-2-Impfung bei Stammzell-Transplantierten: Antikörperantwort vergleichbar mit Gesunden</w:t>
      </w:r>
    </w:p>
    <w:p>
      <w:r>
        <w:rPr>
          <w:i/>
          <w:color w:val="666666"/>
          <w:sz w:val="18"/>
        </w:rPr>
        <w:t>Maier CP et al.  ·  Front Immunol  ·  01.07.2026  ·  PMID 42459652</w:t>
      </w:r>
    </w:p>
    <w:p>
      <w:r>
        <w:t>Längsschnitt-Studie an 354 allogenen Stammzell-Transplantierten und 647 gesunden Kontrollen zu IgG-, IgM-, IgA-Antikörper-Kinetik gegen SARS-CoV-2-Antigene nach mRNA-, Vektor- und Protein-Impfstoff-Dosen.</w:t>
      </w:r>
    </w:p>
    <w:p>
      <w:r>
        <w:rPr>
          <w:b/>
        </w:rPr>
        <w:t xml:space="preserve">Ergebnis: </w:t>
      </w:r>
      <w:r>
        <w:t>Anti-Spike-IgG-Serokonversion: nach 1. Dosis 27 % (Patienten) vs. 28 % (Kontrollen), nach 2. Dosis 65 % vs. 59 %, nach 3. Dosis 93 % vs. 98 %. Nach drei Dosen keine signifikanten Unterschiede mehr zwischen Gruppen. IgM/IgA selten. Negative Prädiktoren nach 1. Dosis (Diagnose, kürzeres Intervall, niedrige Lymphozyten), nach 3. Dosis keine. Antikörperspiegel ≥6 Monate stabil. Durchbruchinfektionen mild.</w:t>
      </w:r>
    </w:p>
    <w:p>
      <w:r>
        <w:rPr>
          <w:b/>
          <w:sz w:val="19"/>
        </w:rPr>
        <w:t xml:space="preserve">Übertragbarkeit: </w:t>
      </w:r>
      <w:r>
        <w:rPr>
          <w:sz w:val="19"/>
        </w:rPr>
        <w:t>Deutschland, deutschsprachige Autoren (Tübingen), Transplantationszentren vergleichbar</w:t>
      </w:r>
    </w:p>
    <w:p>
      <w:r>
        <w:rPr>
          <w:color w:val="5A7D3A"/>
          <w:sz w:val="18"/>
        </w:rPr>
        <w:t>https://pubmed.ncbi.nlm.nih.gov/42459652/</w:t>
      </w:r>
    </w:p>
    <w:p>
      <w:pPr>
        <w:pStyle w:val="Heading1"/>
      </w:pPr>
      <w:r>
        <w:t>Aufgenommen am 01.09.2026</w:t>
      </w:r>
    </w:p>
    <w:p>
      <w:pPr>
        <w:pStyle w:val="Heading2"/>
      </w:pPr>
      <w:r>
        <w:t>Neue mRNA-Impfstoffe gegen COVID-19 in Phase 2: Sicherheit und Immunogenität</w:t>
      </w:r>
    </w:p>
    <w:p>
      <w:r>
        <w:rPr>
          <w:i/>
          <w:color w:val="666666"/>
          <w:sz w:val="18"/>
        </w:rPr>
        <w:t>Wong R et al.  ·  Hum Vaccin Immunother  ·  26.08.2026  ·  PMID 42647564</w:t>
      </w:r>
    </w:p>
    <w:p>
      <w:r>
        <w:t>Phase-2-Studie mit 425 vorgeimpften Erwachsenen in Australien: Vergleich experimenteller bivalenter und monovalenter mRNA-Impfstoffe mit lizenziertem Wuhan/BA.4-5-Impfstoff.</w:t>
      </w:r>
    </w:p>
    <w:p>
      <w:r>
        <w:rPr>
          <w:b/>
        </w:rPr>
        <w:t xml:space="preserve">Ergebnis: </w:t>
      </w:r>
      <w:r>
        <w:t>Überwiegend milde bis moderate Lokalreaktionen. Keine impfstoffbedingten schwerwiegenden Nebenwirkungen oder Myokarditis/Perikarditis. CV0701-Impfstoff (bivalent) zeigte dosisabhängige Neutralisationsantikörper-Anstiege gegen ancestrales D614G und Omicron BA.4-5. CD4+- und CD8+-T-Zell-Antworten in allen Gruppen außer niedrigster CV0701-Dosis.</w:t>
      </w:r>
    </w:p>
    <w:p>
      <w:r>
        <w:rPr>
          <w:b/>
          <w:sz w:val="19"/>
        </w:rPr>
        <w:t xml:space="preserve">Übertragbarkeit: </w:t>
      </w:r>
      <w:r>
        <w:rPr>
          <w:sz w:val="19"/>
        </w:rPr>
        <w:t>Australisches Studienzentrum, Phase 2; Sicherheitsprofil übertragbar, Immunogenität Laborbiomarker.</w:t>
      </w:r>
    </w:p>
    <w:p>
      <w:r>
        <w:rPr>
          <w:color w:val="5A7D3A"/>
          <w:sz w:val="18"/>
        </w:rPr>
        <w:t>https://pubmed.ncbi.nlm.nih.gov/42647564/</w:t>
      </w:r>
    </w:p>
    <w:p>
      <w:pPr>
        <w:pStyle w:val="Heading2"/>
      </w:pPr>
      <w:r>
        <w:t>Pertussis-Impfschutz in Schweden durch Durchbruchinfektionen gefährdet</w:t>
      </w:r>
    </w:p>
    <w:p>
      <w:r>
        <w:rPr>
          <w:i/>
          <w:color w:val="666666"/>
          <w:sz w:val="18"/>
        </w:rPr>
        <w:t>Brett TS et al.  ·  PLoS Comput Biol  ·  04.08.2026  ·  PMID 42550879</w:t>
      </w:r>
    </w:p>
    <w:p>
      <w:r>
        <w:t>Mathematisches Modell der Pertussis-Dynamik in Schweden mit empirischen Meldedaten: Kombination aus leaky DTaP-Immunität, Impfstoffschutz-Abnahme und erhöhter Datenerfassung seit 2014.</w:t>
      </w:r>
    </w:p>
    <w:p>
      <w:r>
        <w:rPr>
          <w:b/>
        </w:rPr>
        <w:t xml:space="preserve">Ergebnis: </w:t>
      </w:r>
      <w:r>
        <w:t>Die DTaP-Impfung verhindert etwa 50% der Infektionen bei ungeimpften Neugeborenen (indirekter Schutz). Pertussis-Elimination ist mit azellulärem Impfstoff nicht möglich wegen Impfstoff-Durchlässigkeit und Immunitätsverlust. Der Anstieg der Fallmeldungen ab 2014 wird nicht allein durch echte Infektionszunahme erklärt, sondern auch durch verbesserte Labortestung.</w:t>
      </w:r>
    </w:p>
    <w:p>
      <w:r>
        <w:rPr>
          <w:b/>
          <w:sz w:val="19"/>
        </w:rPr>
        <w:t xml:space="preserve">Übertragbarkeit: </w:t>
      </w:r>
      <w:r>
        <w:rPr>
          <w:sz w:val="19"/>
        </w:rPr>
        <w:t>Schweden mit detailliertem Surveillance-System; Befund auf Deutschland übertragbar.</w:t>
      </w:r>
    </w:p>
    <w:p>
      <w:r>
        <w:rPr>
          <w:color w:val="5A7D3A"/>
          <w:sz w:val="18"/>
        </w:rPr>
        <w:t>https://pubmed.ncbi.nlm.nih.gov/42550879/</w:t>
      </w:r>
    </w:p>
    <w:p>
      <w:pPr>
        <w:pStyle w:val="Heading2"/>
      </w:pPr>
      <w:r>
        <w:t>Zoster-Impfstoff während Krebstherapie: Umsetzbarkeit und Sicherheit</w:t>
      </w:r>
    </w:p>
    <w:p>
      <w:r>
        <w:rPr>
          <w:i/>
          <w:color w:val="666666"/>
          <w:sz w:val="18"/>
        </w:rPr>
        <w:t>Ciappina G et al.  ·  Hum Vaccin Immunother  ·  30.07.2026  ·  PMID 42529910</w:t>
      </w:r>
    </w:p>
    <w:p>
      <w:r>
        <w:t>Retrospektive Kohorte von 42 Krebspatienten unter systemischer Therapie, denen rekombinanter Zoster-Impfstoff (RZV) angeboten wurde; zwei Dosen im Standard-Abstand.</w:t>
      </w:r>
    </w:p>
    <w:p>
      <w:r>
        <w:rPr>
          <w:b/>
        </w:rPr>
        <w:t xml:space="preserve">Ergebnis: </w:t>
      </w:r>
      <w:r>
        <w:t>37 von 42 (88,1%) vollendeten beide Dosen. Verträglichkeit günstig: Injektionsstellen-Schmerz am häufigsten, Systembeschwerden mild und vorübergehend. Keine schweren impfbezogenen Ereignisse, keine Behandlungsverzögerungen. Nach Median 11,5 Monaten kein dokumentiertes Herpes zoster (aber kleine Fallzahl).</w:t>
      </w:r>
    </w:p>
    <w:p>
      <w:r>
        <w:rPr>
          <w:b/>
          <w:sz w:val="19"/>
        </w:rPr>
        <w:t xml:space="preserve">Übertragbarkeit: </w:t>
      </w:r>
      <w:r>
        <w:rPr>
          <w:sz w:val="19"/>
        </w:rPr>
        <w:t>Einzelnes italienisches Zentrum; Machbarkeitsbefund für Impfen unter Immunsuppression relevant.</w:t>
      </w:r>
    </w:p>
    <w:p>
      <w:r>
        <w:rPr>
          <w:color w:val="5A7D3A"/>
          <w:sz w:val="18"/>
        </w:rPr>
        <w:t>https://pubmed.ncbi.nlm.nih.gov/42529910/</w:t>
      </w:r>
    </w:p>
    <w:p>
      <w:pPr>
        <w:pStyle w:val="Heading2"/>
      </w:pPr>
      <w:r>
        <w:t>HPV-Impfbereitschaft bei ländlichen Eltern: Barrieren und Anreize in Äthiopien</w:t>
      </w:r>
    </w:p>
    <w:p>
      <w:r>
        <w:rPr>
          <w:i/>
          <w:color w:val="666666"/>
          <w:sz w:val="18"/>
        </w:rPr>
        <w:t>Zenebe S et al.  ·  PLoS One  ·  22.07.2026  ·  PMID 42485289</w:t>
      </w:r>
    </w:p>
    <w:p>
      <w:r>
        <w:t>Qualitative Studie zu Faktoren der HPV-Impf-Akzeptanz bei Eltern von Mädchen im ländlichen Südäthiopien mittels Fokusgruppen und Einzelinterviews.</w:t>
      </w:r>
    </w:p>
    <w:p>
      <w:r>
        <w:rPr>
          <w:b/>
        </w:rPr>
        <w:t xml:space="preserve">Ergebnis: </w:t>
      </w:r>
      <w:r>
        <w:t>Befürworter: Krebsprävention, elterliche Verantwortung, Vertrauen in Fachkräfte-Empfehlungen. Barrieren: Mangelndes Wissen, fehlende zuverlässige Informationsquellen, Impfskepsis, Angst vor Nebenwirkungen, kulturelle und religiöse Faktoren. Hauptempfehlung: Behörden und Institutionen müssen zusammen gegen erkannte Barrieren vorgehen.</w:t>
      </w:r>
    </w:p>
    <w:p>
      <w:r>
        <w:rPr>
          <w:b/>
          <w:sz w:val="19"/>
        </w:rPr>
        <w:t xml:space="preserve">Übertragbarkeit: </w:t>
      </w:r>
      <w:r>
        <w:rPr>
          <w:sz w:val="19"/>
        </w:rPr>
        <w:t>Äthiopien-Setting; Befunde zu Vertrauensfaktoren und Wissensdefiziten weltweit relevant.</w:t>
      </w:r>
    </w:p>
    <w:p>
      <w:r>
        <w:rPr>
          <w:color w:val="5A7D3A"/>
          <w:sz w:val="18"/>
        </w:rPr>
        <w:t>https://pubmed.ncbi.nlm.nih.gov/42485289/</w:t>
      </w:r>
    </w:p>
    <w:p>
      <w:pPr>
        <w:pStyle w:val="Heading2"/>
      </w:pPr>
      <w:r>
        <w:t>CAR-T-Zelltherapie für Autoimmunerkrankungen: Stand und Perspektiven</w:t>
      </w:r>
    </w:p>
    <w:p>
      <w:r>
        <w:rPr>
          <w:i/>
          <w:color w:val="666666"/>
          <w:sz w:val="18"/>
        </w:rPr>
        <w:t>Bachl J et al.  ·  PLoS Med  ·  20.07.2026  ·  PMID 42475287</w:t>
      </w:r>
    </w:p>
    <w:p>
      <w:r>
        <w:t>Überblickartikel zu CAR-T-Zellen (chimäre Antigen-Rezeptoren) in der Behandlung von Autoimmunerkrankungen: bisherige Erfolge und offene Fragen.</w:t>
      </w:r>
    </w:p>
    <w:p>
      <w:r>
        <w:rPr>
          <w:b/>
        </w:rPr>
        <w:t xml:space="preserve">Ergebnis: </w:t>
      </w:r>
      <w:r>
        <w:t>CAR-T-Therapien haben Potenzial, dysfunktionale Immunsysteme zurückzusetzen. Neueste technologische Entwicklungen ermöglichen Hoffnung für Patienten mit therapierefraktären Autoimmunerkrankungen. Zahlreiche Herausforderungen bleiben, insgesamt wird die transformative Wirkung dieser Zelltherapien für künftige Patienten angedeutet.</w:t>
      </w:r>
    </w:p>
    <w:p>
      <w:r>
        <w:rPr>
          <w:b/>
          <w:sz w:val="19"/>
        </w:rPr>
        <w:t xml:space="preserve">Übertragbarkeit: </w:t>
      </w:r>
      <w:r>
        <w:rPr>
          <w:sz w:val="19"/>
        </w:rPr>
        <w:t>Überblick ohne primäre Daten; nicht primär impfpräventiv, sondern therapeutisch.</w:t>
      </w:r>
    </w:p>
    <w:p>
      <w:r>
        <w:rPr>
          <w:color w:val="5A7D3A"/>
          <w:sz w:val="18"/>
        </w:rPr>
        <w:t>https://pubmed.ncbi.nlm.nih.gov/42475287/</w:t>
      </w:r>
    </w:p>
    <w:p>
      <w:pPr>
        <w:pStyle w:val="Heading2"/>
      </w:pPr>
      <w:r>
        <w:t>Pentavalent-Impflücke verursachte Diphtherie-Ausbruch in Nigeria</w:t>
      </w:r>
    </w:p>
    <w:p>
      <w:r>
        <w:rPr>
          <w:i/>
          <w:color w:val="666666"/>
          <w:sz w:val="18"/>
        </w:rPr>
        <w:t>Okhuarobo UJ et al.  ·  Pan Afr Med J  ·  10.03.2026  ·  PMID 42465825</w:t>
      </w:r>
    </w:p>
    <w:p>
      <w:r>
        <w:t>Fall-Kontroll-Studie zu Diphtherie-Ausbruch in Kafanchan, Nigeria (Juli-Oktober 2023): Exposition, Kontakte und Impfstatus.</w:t>
      </w:r>
    </w:p>
    <w:p>
      <w:r>
        <w:rPr>
          <w:b/>
        </w:rPr>
        <w:t xml:space="preserve">Ergebnis: </w:t>
      </w:r>
      <w:r>
        <w:t>91 Fälle, medianes Alter 7 Jahre, Fallsterblichkeit 23%. Pentavalent-Impfung: protektiv (aOR 0,39, 95%-KI 0,20–0,77). Kontakt mit respiratorischen Symptomen: OR 37,2 (KI 16,8–82,6). 25% hatten nie Pentavalent erhalten, Grund: Unwissenheit über Nutzen. Verbesserung durch Risikokommunikation und gestärkte Routine-Impfung.</w:t>
      </w:r>
    </w:p>
    <w:p>
      <w:r>
        <w:rPr>
          <w:b/>
          <w:sz w:val="19"/>
        </w:rPr>
        <w:t xml:space="preserve">Übertragbarkeit: </w:t>
      </w:r>
      <w:r>
        <w:rPr>
          <w:sz w:val="19"/>
        </w:rPr>
        <w:t>Nigeria-Daten; Mechanism-Befund (Lücken-Ausbruch) global übertragbar.</w:t>
      </w:r>
    </w:p>
    <w:p>
      <w:r>
        <w:rPr>
          <w:color w:val="5A7D3A"/>
          <w:sz w:val="18"/>
        </w:rPr>
        <w:t>https://pubmed.ncbi.nlm.nih.gov/42465825/</w:t>
      </w:r>
    </w:p>
    <w:p>
      <w:pPr>
        <w:pStyle w:val="Heading1"/>
      </w:pPr>
      <w:r>
        <w:t>Aufgenommen am 31.08.2026</w:t>
      </w:r>
    </w:p>
    <w:p>
      <w:pPr>
        <w:pStyle w:val="Heading2"/>
      </w:pPr>
      <w:r>
        <w:t>Langzeitimmunität nach Hepatitis-B-Impfung bei Menschen mit HIV: 8,5-Jahr-Verlauf in China</w:t>
      </w:r>
    </w:p>
    <w:p>
      <w:r>
        <w:rPr>
          <w:i/>
          <w:color w:val="666666"/>
          <w:sz w:val="18"/>
        </w:rPr>
        <w:t>Yang H et al.  ·  Front Public Health  ·  14.08.2026  ·  PMID 42666258</w:t>
      </w:r>
    </w:p>
    <w:p>
      <w:r>
        <w:t>Retrospektive Kohortenstudie mit 195 HIV-positiven Personen ohne anti-HBs-Schutz, die Heplisav-B erhielten, mit Langzeitfollow-up 1,5-8,5 Jahre.</w:t>
      </w:r>
    </w:p>
    <w:p>
      <w:r>
        <w:rPr>
          <w:b/>
        </w:rPr>
        <w:t xml:space="preserve">Ergebnis: </w:t>
      </w:r>
      <w:r>
        <w:t>Nach 3-4 Dosen initial 98% und 85% Responserate (vs. 77-79% nach 1-2 Dosen). Nach 8,5 Jahren: 83% (3 Dosen) und 88% (4 Dosen) zeigten anhaltende Antikörper &gt;100 IU/mL. Unabhängige Korrelaten: Dosenzahl und frühes serologisches Ansprechen.</w:t>
      </w:r>
    </w:p>
    <w:p>
      <w:r>
        <w:rPr>
          <w:b/>
          <w:sz w:val="19"/>
        </w:rPr>
        <w:t xml:space="preserve">Übertragbarkeit: </w:t>
      </w:r>
      <w:r>
        <w:rPr>
          <w:sz w:val="19"/>
        </w:rPr>
        <w:t>China, aber Heplisav-B weltweit, zeigt optimale Impfschemata für immungeschwächte Personen</w:t>
      </w:r>
    </w:p>
    <w:p>
      <w:r>
        <w:rPr>
          <w:color w:val="5A7D3A"/>
          <w:sz w:val="18"/>
        </w:rPr>
        <w:t>https://pubmed.ncbi.nlm.nih.gov/42666258/</w:t>
      </w:r>
    </w:p>
    <w:p>
      <w:pPr>
        <w:pStyle w:val="Heading2"/>
      </w:pPr>
      <w:r>
        <w:t>Sozioökonomische Ungleichheiten bei COVID-19-Impfung nigerianischer Frauen</w:t>
      </w:r>
    </w:p>
    <w:p>
      <w:r>
        <w:rPr>
          <w:i/>
          <w:color w:val="666666"/>
          <w:sz w:val="18"/>
        </w:rPr>
        <w:t>Ekholuenetale M  ·  PLoS One  ·  28.08.2026  ·  PMID 42664197</w:t>
      </w:r>
    </w:p>
    <w:p>
      <w:r>
        <w:t>Querschnittsanalyse mit 36.555 Frauen aus Nigeria-Bevölkerungsumfrage 2024 zur Zerlegung sozioökonomischer Disparitäten bei Impfquoten.</w:t>
      </w:r>
    </w:p>
    <w:p>
      <w:r>
        <w:rPr>
          <w:b/>
        </w:rPr>
        <w:t xml:space="preserve">Ergebnis: </w:t>
      </w:r>
      <w:r>
        <w:t>Impfquote bei am wenigsten benachteiligten Frauen 31,6%, bei am stärksten benachteiligten 19,2%. Positive Einflussfaktoren: höhere Bildung, Medienpräsenz, Krankenversicherung, Alter ≥30 Jahre, südliche Regionen. Bildung, Medienexposition und Versicherung trugen am stärksten zu Disparitäten bei.</w:t>
      </w:r>
    </w:p>
    <w:p>
      <w:r>
        <w:rPr>
          <w:b/>
          <w:sz w:val="19"/>
        </w:rPr>
        <w:t xml:space="preserve">Übertragbarkeit: </w:t>
      </w:r>
      <w:r>
        <w:rPr>
          <w:sz w:val="19"/>
        </w:rPr>
        <w:t>Nigeria, aber Ungleichheitsmuster zeigen universelle Zugangsbarrieren</w:t>
      </w:r>
    </w:p>
    <w:p>
      <w:r>
        <w:rPr>
          <w:color w:val="5A7D3A"/>
          <w:sz w:val="18"/>
        </w:rPr>
        <w:t>https://pubmed.ncbi.nlm.nih.gov/42664197/</w:t>
      </w:r>
    </w:p>
    <w:p>
      <w:pPr>
        <w:pStyle w:val="Heading2"/>
      </w:pPr>
      <w:r>
        <w:t>COVID-19-Impfquote bei Gemeindeimpfterminen: Dauer, Wochentag und Partnerschaft steigern Reichweite</w:t>
      </w:r>
    </w:p>
    <w:p>
      <w:r>
        <w:rPr>
          <w:i/>
          <w:color w:val="666666"/>
          <w:sz w:val="18"/>
        </w:rPr>
        <w:t>Shakib SH et al.  ·  Viruses  ·  11.08.2026  ·  PMID 42655698</w:t>
      </w:r>
    </w:p>
    <w:p>
      <w:r>
        <w:t>Retrospektive Analyse von 631 Impfterminen (27.767 Dosen) in Kentucky 2021-2022 zu Assoziationen zwischen Veranstaltungsmerkmalen und verabreichten Dosen pro Termin.</w:t>
      </w:r>
    </w:p>
    <w:p>
      <w:r>
        <w:rPr>
          <w:b/>
        </w:rPr>
        <w:t xml:space="preserve">Ergebnis: </w:t>
      </w:r>
      <w:r>
        <w:t>Jede zusätzliche Stunde Veranstaltungsdauer: +21,6% Dosen pro Termin. Wochenendtermine: +87,8% gegenüber Wochentagen. Nicht-regierungsorganisationen: +44,7%; Unternehmen: +110%; medizinische Anbieter: +57,8% gegenüber Government-Terminen. Nur-LMPHW-Termine (ohne Partner): +198,4%.</w:t>
      </w:r>
    </w:p>
    <w:p>
      <w:r>
        <w:rPr>
          <w:b/>
          <w:sz w:val="19"/>
        </w:rPr>
        <w:t xml:space="preserve">Übertragbarkeit: </w:t>
      </w:r>
      <w:r>
        <w:rPr>
          <w:sz w:val="19"/>
        </w:rPr>
        <w:t>USA, aber Zugangsoptimierungen übertragbar auf deutsche Impfstellen</w:t>
      </w:r>
    </w:p>
    <w:p>
      <w:r>
        <w:rPr>
          <w:color w:val="5A7D3A"/>
          <w:sz w:val="18"/>
        </w:rPr>
        <w:t>https://pubmed.ncbi.nlm.nih.gov/42655698/</w:t>
      </w:r>
    </w:p>
    <w:p>
      <w:pPr>
        <w:pStyle w:val="Heading2"/>
      </w:pPr>
      <w:r>
        <w:t>Mütterlicherve RSV-Impfung: Akzeptanz und Kommunikationspräferenzen schwangerer Frauen in England</w:t>
      </w:r>
    </w:p>
    <w:p>
      <w:r>
        <w:rPr>
          <w:i/>
          <w:color w:val="666666"/>
          <w:sz w:val="18"/>
        </w:rPr>
        <w:t>Bell S et al.  ·  Vaccine  ·  13.08.2026  ·  PMID 42497669</w:t>
      </w:r>
    </w:p>
    <w:p>
      <w:r>
        <w:t>Qualitative Studie mit 30 Müttern in England zu Wahrnehmungen der maternalen RSV-Impfung ab 28 Schwangerschaftswochen.</w:t>
      </w:r>
    </w:p>
    <w:p>
      <w:r>
        <w:rPr>
          <w:b/>
        </w:rPr>
        <w:t xml:space="preserve">Ergebnis: </w:t>
      </w:r>
      <w:r>
        <w:t>Hohe Impfbereitschaft, aber Wissenslücken zu RSV-Schweregrad. Mütter bevorzugen Informationen online, schriftlich und durch Hebammen; 84% wollen Impfung in Antenatalbetreuung (nicht separate Praxistermine).</w:t>
      </w:r>
    </w:p>
    <w:p>
      <w:r>
        <w:rPr>
          <w:b/>
          <w:sz w:val="19"/>
        </w:rPr>
        <w:t xml:space="preserve">Übertragbarkeit: </w:t>
      </w:r>
      <w:r>
        <w:rPr>
          <w:sz w:val="19"/>
        </w:rPr>
        <w:t>Großbritannien, vergleichbares Versorgungssystem, neue Impfempfehlung, übertragbare Zugangsoptimierung</w:t>
      </w:r>
    </w:p>
    <w:p>
      <w:r>
        <w:rPr>
          <w:color w:val="5A7D3A"/>
          <w:sz w:val="18"/>
        </w:rPr>
        <w:t>https://pubmed.ncbi.nlm.nih.gov/42497669/</w:t>
      </w:r>
    </w:p>
    <w:p>
      <w:pPr>
        <w:pStyle w:val="Heading2"/>
      </w:pPr>
      <w:r>
        <w:t>Nutzen-Kosten-Analyse: Atemwegsimpfung bei Erwachsenen ≥65 Jahren in Frankreich</w:t>
      </w:r>
    </w:p>
    <w:p>
      <w:r>
        <w:rPr>
          <w:i/>
          <w:color w:val="666666"/>
          <w:sz w:val="18"/>
        </w:rPr>
        <w:t>Napier M et al.  ·  Expert Rev Vaccines  ·  22.07.2026  ·  PMID 42484014</w:t>
      </w:r>
    </w:p>
    <w:p>
      <w:r>
        <w:t>Ökonomische Analyse zur Rentabilität von Pneumokokken-, RSV-, Influenza- und COVID-19-Impfungen bei älteren Franzosen.</w:t>
      </w:r>
    </w:p>
    <w:p>
      <w:r>
        <w:rPr>
          <w:b/>
        </w:rPr>
        <w:t xml:space="preserve">Ergebnis: </w:t>
      </w:r>
      <w:r>
        <w:t>Nutzen-Kosten-Verhältnis 2,0-8,7€ pro 1€ Ausgaben über Lebenszeit. RSV-Impfung würde Nettonutzen um 6-7% erhöhen. Erreichung ehrgeiziger Impfquoten (z.B. auf 90%) würde Nutzen um 138-175% steigern.</w:t>
      </w:r>
    </w:p>
    <w:p>
      <w:r>
        <w:rPr>
          <w:b/>
          <w:sz w:val="19"/>
        </w:rPr>
        <w:t xml:space="preserve">Übertragbarkeit: </w:t>
      </w:r>
      <w:r>
        <w:rPr>
          <w:sz w:val="19"/>
        </w:rPr>
        <w:t>Frankreich, vergleichbares System, zeigt Wirtschaftlichkeit höherer Quoten</w:t>
      </w:r>
    </w:p>
    <w:p>
      <w:r>
        <w:rPr>
          <w:color w:val="5A7D3A"/>
          <w:sz w:val="18"/>
        </w:rPr>
        <w:t>https://pubmed.ncbi.nlm.nih.gov/42484014/</w:t>
      </w:r>
    </w:p>
    <w:p>
      <w:pPr>
        <w:pStyle w:val="Heading2"/>
      </w:pPr>
      <w:r>
        <w:t>Tdap-Impfzeitpunkt in der Schwangerschaft: Antikörperresponse und Plazentaweitergabe</w:t>
      </w:r>
    </w:p>
    <w:p>
      <w:r>
        <w:rPr>
          <w:i/>
          <w:color w:val="666666"/>
          <w:sz w:val="18"/>
        </w:rPr>
        <w:t>De Weerdt L et al.  ·  Vaccine  ·  13.08.2026  ·  PMID 42472495</w:t>
      </w:r>
    </w:p>
    <w:p>
      <w:r>
        <w:t>Prospektive Studie mit 96 schwangeren Frauen in Belgien zur Charakterisierung der Auswirkung des Impfzeitpunkts (16.-32. Woche) auf maternale und neonatale Antikörperprofile.</w:t>
      </w:r>
    </w:p>
    <w:p>
      <w:r>
        <w:rPr>
          <w:b/>
        </w:rPr>
        <w:t xml:space="preserve">Ergebnis: </w:t>
      </w:r>
      <w:r>
        <w:t>Maternale IgG und IgG1 gegen Pertussis, Diphtherie, Tetanus bei späteren Impfungen höher; neonatale Profile vergleichbar. IgG-Transferquoten sanken mit fortgeschrittenerem Gestationsalter, funktionelle Antikörperübertragung kaum beeinflusst.</w:t>
      </w:r>
    </w:p>
    <w:p>
      <w:r>
        <w:rPr>
          <w:b/>
          <w:sz w:val="19"/>
        </w:rPr>
        <w:t xml:space="preserve">Übertragbarkeit: </w:t>
      </w:r>
      <w:r>
        <w:rPr>
          <w:sz w:val="19"/>
        </w:rPr>
        <w:t>Belgien, vergleichbares Versicherungssystem, bestätigt Empfehlung 16.-32. Wochen</w:t>
      </w:r>
    </w:p>
    <w:p>
      <w:r>
        <w:rPr>
          <w:color w:val="5A7D3A"/>
          <w:sz w:val="18"/>
        </w:rPr>
        <w:t>https://pubmed.ncbi.nlm.nih.gov/42472495/</w:t>
      </w:r>
    </w:p>
    <w:p>
      <w:pPr>
        <w:pStyle w:val="Heading1"/>
      </w:pPr>
      <w:r>
        <w:t>Aufgenommen am 30.08.2026</w:t>
      </w:r>
    </w:p>
    <w:p>
      <w:pPr>
        <w:pStyle w:val="Heading2"/>
      </w:pPr>
      <w:r>
        <w:t>Rapid strain-matched Influenza-Impfung hätte 28.000 Todesfälle in UK-ähnlicher Pandemie verhindert</w:t>
      </w:r>
    </w:p>
    <w:p>
      <w:r>
        <w:rPr>
          <w:i/>
          <w:color w:val="666666"/>
          <w:sz w:val="18"/>
        </w:rPr>
        <w:t>Lovick S et al.  ·  Hum Vaccin Immunother  ·  28.08.2026  ·  PMID 42663142</w:t>
      </w:r>
    </w:p>
    <w:p>
      <w:r>
        <w:t>Dynamisches SEIR-Transmissionsmodell für UK-ähnliche Bevölkerung zur Bewertung Morbidität, Mortalität und Kosten einer frühen zellbasierten vs. eibasierten Pandemie-Impfstoff-Kampagne mit/ohne Maßnahmen.</w:t>
      </w:r>
    </w:p>
    <w:p>
      <w:r>
        <w:rPr>
          <w:b/>
        </w:rPr>
        <w:t xml:space="preserve">Ergebnis: </w:t>
      </w:r>
      <w:r>
        <w:t>16-wöchige Impfkampagne ab 16 Wochen nach Pandemie-Erklärung (ohne Maßnahmen) reduzierte Infektionen um 3,0 Millionen und Todesfälle um 28.000, mit größerem Nutzen in Low-Transmissibility-Szenarien. Zellbasierter Impfstoff reduzierte Todesfälle zusätzlich um 5,0%. Maßnahmen (Durchschnittskosten £208 Mrd.) verbesserten Impfeffektivität, zellbasierter Impfstoff zusätzlich um 0,9%. Verzögerungen erhöhten Mortalität und wirtschaftliche Kosten.</w:t>
      </w:r>
    </w:p>
    <w:p>
      <w:r>
        <w:rPr>
          <w:b/>
          <w:sz w:val="19"/>
        </w:rPr>
        <w:t xml:space="preserve">Übertragbarkeit: </w:t>
      </w:r>
      <w:r>
        <w:rPr>
          <w:sz w:val="19"/>
        </w:rPr>
        <w:t>UK-ähnliche Gesundheitssysteme, Modellierung ohne spezifische nationale Daten.</w:t>
      </w:r>
    </w:p>
    <w:p>
      <w:r>
        <w:rPr>
          <w:color w:val="5A7D3A"/>
          <w:sz w:val="18"/>
        </w:rPr>
        <w:t>https://pubmed.ncbi.nlm.nih.gov/42663142/</w:t>
      </w:r>
    </w:p>
    <w:p>
      <w:pPr>
        <w:pStyle w:val="Heading2"/>
      </w:pPr>
      <w:r>
        <w:t>Vertraute Quellen statt digitale Botschaften: Was COVID-19-Skepsis bei Schwarzen schwangeren Frauen senkt</w:t>
      </w:r>
    </w:p>
    <w:p>
      <w:r>
        <w:rPr>
          <w:i/>
          <w:color w:val="666666"/>
          <w:sz w:val="18"/>
        </w:rPr>
        <w:t>Cox E et al.  ·  Front Public Health  ·  12.08.2026  ·  PMID 42656594</w:t>
      </w:r>
    </w:p>
    <w:p>
      <w:r>
        <w:t>Qualitative Studie mit Interviews und Fokusgruppen bei 30 Schwarzen schwangeren und postpartalen Frauen in den USA zum Einfluss von sozialen Medien-Anzeigen auf Impfbereitschaft.</w:t>
      </w:r>
    </w:p>
    <w:p>
      <w:r>
        <w:rPr>
          <w:b/>
        </w:rPr>
        <w:t xml:space="preserve">Ergebnis: </w:t>
      </w:r>
      <w:r>
        <w:t>Geimpfte, religiöse, politisch konservative und verheiratete Frauen zeigten höhere Bereitschaft nach den Anzeigen. Kein einzelnes Messenger-Format oder Inhaltstyp war überlegen. Qualitativ zentral: Vertrauen in sich selbst, Familie, Doulas und Glaubensführer; Misstrauen gegen Staat und Gesundheitssystem sowie medizinischen Rassismus. Persönliches Zeugnis von vertrauten Quellen könnte Akzeptanz stärken.</w:t>
      </w:r>
    </w:p>
    <w:p>
      <w:r>
        <w:rPr>
          <w:b/>
          <w:sz w:val="19"/>
        </w:rPr>
        <w:t xml:space="preserve">Übertragbarkeit: </w:t>
      </w:r>
      <w:r>
        <w:rPr>
          <w:sz w:val="19"/>
        </w:rPr>
        <w:t>USA, spezifische Herausforderung für Minderheiten-Vertrauen in Gesundheitssystem.</w:t>
      </w:r>
    </w:p>
    <w:p>
      <w:r>
        <w:rPr>
          <w:color w:val="5A7D3A"/>
          <w:sz w:val="18"/>
        </w:rPr>
        <w:t>https://pubmed.ncbi.nlm.nih.gov/42656594/</w:t>
      </w:r>
    </w:p>
    <w:p>
      <w:pPr>
        <w:pStyle w:val="Heading2"/>
      </w:pPr>
      <w:r>
        <w:t>HPV-geimpfte Jugendliche nutzen Kondome häufiger und kennen mehr über Geschlechtskrankheiten</w:t>
      </w:r>
    </w:p>
    <w:p>
      <w:r>
        <w:rPr>
          <w:i/>
          <w:color w:val="666666"/>
          <w:sz w:val="18"/>
        </w:rPr>
        <w:t>Christensen LD et al.  ·  Dan Med J  ·  09.06.2026  ·  PMID 42592763</w:t>
      </w:r>
    </w:p>
    <w:p>
      <w:r>
        <w:t>Querschnittstudie bei 866 von 1.254 neunten Schulklassen-Schülern (69%) in Dänemark 2020–2024 zu HPV-Impfstatus und Wissen über sexuell übertragbare Infektionen.</w:t>
      </w:r>
    </w:p>
    <w:p>
      <w:r>
        <w:rPr>
          <w:b/>
        </w:rPr>
        <w:t xml:space="preserve">Ergebnis: </w:t>
      </w:r>
      <w:r>
        <w:t>20% der Jugendlichen hatten sexuelle Erfahrung mit Medianalter 14 Jahren. Wissen über drei oder mehr STIs war mit HPV-Impfung assoziiert (p=0,001). 62% nutzten bei letztem Sexualkontakt Kondome und/oder orale Kontrazeptiva; Mädchen 70–80%, Jungen 50–55%. HPV-Geimpfte nutzten Kondome signifikant häufiger.</w:t>
      </w:r>
    </w:p>
    <w:p>
      <w:r>
        <w:rPr>
          <w:b/>
          <w:sz w:val="19"/>
        </w:rPr>
        <w:t xml:space="preserve">Übertragbarkeit: </w:t>
      </w:r>
      <w:r>
        <w:rPr>
          <w:sz w:val="19"/>
        </w:rPr>
        <w:t>Dänemark, europäisches Impfprogramm und Bevölkerungsaufbau.</w:t>
      </w:r>
    </w:p>
    <w:p>
      <w:r>
        <w:rPr>
          <w:color w:val="5A7D3A"/>
          <w:sz w:val="18"/>
        </w:rPr>
        <w:t>https://pubmed.ncbi.nlm.nih.gov/42592763/</w:t>
      </w:r>
    </w:p>
    <w:p>
      <w:pPr>
        <w:pStyle w:val="Heading2"/>
      </w:pPr>
      <w:r>
        <w:t>RSV-Impfung bei immungeschwächten Erwachsenen würde Krankheitslast und Kosten in Deutschland senken</w:t>
      </w:r>
    </w:p>
    <w:p>
      <w:r>
        <w:rPr>
          <w:i/>
          <w:color w:val="666666"/>
          <w:sz w:val="18"/>
        </w:rPr>
        <w:t>Quinn E et al.  ·  Expert Rev Vaccines  ·  31.07.2026  ·  PMID 42535735</w:t>
      </w:r>
    </w:p>
    <w:p>
      <w:r>
        <w:t>Kosten-Effektivitätsmodell für RSV-Impfung (RSVpreF) in Deutschland, mit Szenarien für die Erweiterung der STIKO-Empfehlung auf Personen &lt;60 Jahren.</w:t>
      </w:r>
    </w:p>
    <w:p>
      <w:r>
        <w:rPr>
          <w:b/>
        </w:rPr>
        <w:t xml:space="preserve">Ergebnis: </w:t>
      </w:r>
      <w:r>
        <w:t>Gegenwärtig: Empfehlung für 60–74 Jahre und ≥75 Jahre. Erweiterung auf immungeschwächte (IC) Erwachsene 18–59 Jahre würde 6.490 Fälle verhindern, 199 Todesfälle abwenden und 21 Mio. € einsparen. Erweiterung auf IC/chronisch kranke Personen 18–59 Jahre würde 24.545 Fälle und 388 Todesfälle verhindern bei Mehrkosten von 238 Mio. €.</w:t>
      </w:r>
    </w:p>
    <w:p>
      <w:r>
        <w:rPr>
          <w:b/>
          <w:sz w:val="19"/>
        </w:rPr>
        <w:t xml:space="preserve">Übertragbarkeit: </w:t>
      </w:r>
      <w:r>
        <w:rPr>
          <w:sz w:val="19"/>
        </w:rPr>
        <w:t>Deutschland, deutsche Versicherungslogik und STIKO-Struktur.</w:t>
      </w:r>
    </w:p>
    <w:p>
      <w:r>
        <w:rPr>
          <w:color w:val="5A7D3A"/>
          <w:sz w:val="18"/>
        </w:rPr>
        <w:t>https://pubmed.ncbi.nlm.nih.gov/42535735/</w:t>
      </w:r>
    </w:p>
    <w:p>
      <w:pPr>
        <w:pStyle w:val="Heading2"/>
      </w:pPr>
      <w:r>
        <w:t>Schützende Antikörper gegen Röteln bei Katalanischen Medizinstudierenden trotz hoher Impfquoten</w:t>
      </w:r>
    </w:p>
    <w:p>
      <w:r>
        <w:rPr>
          <w:i/>
          <w:color w:val="666666"/>
          <w:sz w:val="18"/>
        </w:rPr>
        <w:t>Benito P et al.  ·  Vaccine  ·  13.08.2026  ·  PMID 42501718</w:t>
      </w:r>
    </w:p>
    <w:p>
      <w:r>
        <w:t>Querschnittsstudie an 235 Medizinstudierenden in vier katalanischen Universitäten zur Röteln-Impfquote und Seroprävalenz von Schutzantikörpern.</w:t>
      </w:r>
    </w:p>
    <w:p>
      <w:r>
        <w:rPr>
          <w:b/>
        </w:rPr>
        <w:t xml:space="preserve">Ergebnis: </w:t>
      </w:r>
      <w:r>
        <w:t>94,5% berichteten vollständige Röteln-Impfung; 84,7% hatten schützende Anti-Röteln-IgG-Antikörper, 6,0% grenzwertig und 9,4% negativ. Vollständig Geimpfte waren signifikant häufiger seropositiv (aOR 4,02; 95% CI 1,14–13,11). Nahezu alle Teilnehmenden bewerteten die MMR-Impfung als sicher und wichtig.</w:t>
      </w:r>
    </w:p>
    <w:p>
      <w:r>
        <w:rPr>
          <w:b/>
          <w:sz w:val="19"/>
        </w:rPr>
        <w:t xml:space="preserve">Übertragbarkeit: </w:t>
      </w:r>
      <w:r>
        <w:rPr>
          <w:sz w:val="19"/>
        </w:rPr>
        <w:t>Spanien, vergleichbares Hochschulsystem und Impfkalender.</w:t>
      </w:r>
    </w:p>
    <w:p>
      <w:r>
        <w:rPr>
          <w:color w:val="5A7D3A"/>
          <w:sz w:val="18"/>
        </w:rPr>
        <w:t>https://pubmed.ncbi.nlm.nih.gov/42501718/</w:t>
      </w:r>
    </w:p>
    <w:p>
      <w:pPr>
        <w:pStyle w:val="Heading2"/>
      </w:pPr>
      <w:r>
        <w:t>Catch-up-Impfquoten nach Beratung bei ukrainischen Kinderflüchtlingen in der Schweiz deutlich verbessert</w:t>
      </w:r>
    </w:p>
    <w:p>
      <w:r>
        <w:rPr>
          <w:i/>
          <w:color w:val="666666"/>
          <w:sz w:val="18"/>
        </w:rPr>
        <w:t>Vaezipour N et al.  ·  Eur J Pediatr  ·  23.07.2026  ·  PMID 42489737</w:t>
      </w:r>
    </w:p>
    <w:p>
      <w:r>
        <w:t>Retrospektive Kohortenstudie bei 517 ukrainischen Kinderflüchtlingen in fünf Schweizer Zentren zur Durchimpfung und Infektionsscreening.</w:t>
      </w:r>
    </w:p>
    <w:p>
      <w:r>
        <w:rPr>
          <w:b/>
        </w:rPr>
        <w:t xml:space="preserve">Ergebnis: </w:t>
      </w:r>
      <w:r>
        <w:t>Bei Ankunft 71–82% altersentsprechend geimpft gegen Masern, Diphtherie-Tetanus-Pertussis, Poliomyelitis und Haemophilus influenzae b; Hauptgrund für Lücken war Impfskepsis. Nach Impfberatung/Catch-up-Programme: 98% (509/517) vollständig geimpft. Infektionsscreening-Positivraten niedrig: HIV 2,7%, Hepatitis B 1,6%, Tuberkulose 1,0%.</w:t>
      </w:r>
    </w:p>
    <w:p>
      <w:r>
        <w:rPr>
          <w:b/>
          <w:sz w:val="19"/>
        </w:rPr>
        <w:t xml:space="preserve">Übertragbarkeit: </w:t>
      </w:r>
      <w:r>
        <w:rPr>
          <w:sz w:val="19"/>
        </w:rPr>
        <w:t>Schweiz, vergleichbares Versicherungssystem und Versorgungsauftrag.</w:t>
      </w:r>
    </w:p>
    <w:p>
      <w:r>
        <w:rPr>
          <w:color w:val="5A7D3A"/>
          <w:sz w:val="18"/>
        </w:rPr>
        <w:t>https://pubmed.ncbi.nlm.nih.gov/42489737/</w:t>
      </w:r>
    </w:p>
    <w:p>
      <w:pPr>
        <w:pStyle w:val="Heading2"/>
      </w:pPr>
      <w:r>
        <w:t>Impfdurchbrüche mit Pneumokokken-Serotyp 3 trotz hoher PCV13-Abdeckung bei Kindern</w:t>
      </w:r>
    </w:p>
    <w:p>
      <w:r>
        <w:rPr>
          <w:i/>
          <w:color w:val="666666"/>
          <w:sz w:val="18"/>
        </w:rPr>
        <w:t>Ciruela P et al.  ·  Vaccine  ·  13.08.2026  ·  PMID 42486053</w:t>
      </w:r>
    </w:p>
    <w:p>
      <w:r>
        <w:t>Retrospektive Beobachtungsstudie zu invasiven Pneumokokken-Erkrankungen bei 206 PCV13-geimpften Kindern in Katalonien 2018–2023 mit Impfquoten &gt;96%.</w:t>
      </w:r>
    </w:p>
    <w:p>
      <w:r>
        <w:rPr>
          <w:b/>
        </w:rPr>
        <w:t xml:space="preserve">Ergebnis: </w:t>
      </w:r>
      <w:r>
        <w:t>48,0% vollständig Geimpfter (n=177) zeigten Impfversagen, vorwiegend durch Serotyp 3 (84,7% der Fälle). Im Vergleich zur Vor-PCV13-Ära war der Schutz länger haltbar, aber der Anteil von Serotyp-3-Durchbrüchen blieb erheblich. Ausschluss von Serotyp 3 senkte die Impfversagensrate von 48,0% auf 12,4%.</w:t>
      </w:r>
    </w:p>
    <w:p>
      <w:r>
        <w:rPr>
          <w:b/>
          <w:sz w:val="19"/>
        </w:rPr>
        <w:t xml:space="preserve">Übertragbarkeit: </w:t>
      </w:r>
      <w:r>
        <w:rPr>
          <w:sz w:val="19"/>
        </w:rPr>
        <w:t>Spanien, vergleichbares Impfprogramm und Surveillance-System.</w:t>
      </w:r>
    </w:p>
    <w:p>
      <w:r>
        <w:rPr>
          <w:color w:val="5A7D3A"/>
          <w:sz w:val="18"/>
        </w:rPr>
        <w:t>https://pubmed.ncbi.nlm.nih.gov/42486053/</w:t>
      </w:r>
    </w:p>
    <w:p>
      <w:pPr>
        <w:pStyle w:val="Heading1"/>
      </w:pPr>
      <w:r>
        <w:t>Aufgenommen am 29.08.2026</w:t>
      </w:r>
    </w:p>
    <w:p>
      <w:pPr>
        <w:pStyle w:val="Heading2"/>
      </w:pPr>
      <w:r>
        <w:t>Dezentralisierte CAR-T-Zelltherapie: Phase-1-Sicherheit und Machbarkeit</w:t>
      </w:r>
    </w:p>
    <w:p>
      <w:r>
        <w:rPr>
          <w:i/>
          <w:color w:val="666666"/>
          <w:sz w:val="18"/>
        </w:rPr>
        <w:t>Kersten MJ et al.  ·  Lancet Haematol  ·  Sept. 2026  ·  PMID 42660131</w:t>
      </w:r>
    </w:p>
    <w:p>
      <w:r>
        <w:t>Phase-1-Dosis-Eskalationsstudie der dezentralisierten Fertigung von CD19-CAR-T-Zellen (GLPG5101) bei 24 Patienten mit rezidiviertem/refraktärem B-Zell-Non-Hodgkin-Lymphom in Niederlanden und Belgien (März 2022–September 2024).</w:t>
      </w:r>
    </w:p>
    <w:p>
      <w:r>
        <w:rPr>
          <w:b/>
        </w:rPr>
        <w:t xml:space="preserve">Ergebnis: </w:t>
      </w:r>
      <w:r>
        <w:t>Fünf dosislimitierende Toxizitäten berichtet: Grad-3-Thrombozytopenie (n=1), Tod durch intra-abdominale Blutung (n=1), Grad-4-Neutropenie (n=3). Vier therapiebedingte Todesfälle insgesamt. Empfohlene Phase-2-Dosis: 110 × 10⁶ (Bereich 50–110 × 10⁶) CAR⁺-T-Zellen. Studie zeigte Machbarkeit schneller dezentralisierter Fertigung und Lieferung.</w:t>
      </w:r>
    </w:p>
    <w:p>
      <w:r>
        <w:rPr>
          <w:b/>
          <w:sz w:val="19"/>
        </w:rPr>
        <w:t xml:space="preserve">Übertragbarkeit: </w:t>
      </w:r>
      <w:r>
        <w:rPr>
          <w:sz w:val="19"/>
        </w:rPr>
        <w:t>Niederlande/Belgien, dezentralisierte Herstellung lokal lösbar, aber CAR-T grundsätzlich komplexes spezialisiertes Therapieverfahren</w:t>
      </w:r>
    </w:p>
    <w:p>
      <w:r>
        <w:rPr>
          <w:color w:val="5A7D3A"/>
          <w:sz w:val="18"/>
        </w:rPr>
        <w:t>https://pubmed.ncbi.nlm.nih.gov/42660131/</w:t>
      </w:r>
    </w:p>
    <w:p>
      <w:pPr>
        <w:pStyle w:val="Heading2"/>
      </w:pPr>
      <w:r>
        <w:t>Pränatalintervention für Impfakzeptanz durch Bürgerbeteiligung entwickelt</w:t>
      </w:r>
    </w:p>
    <w:p>
      <w:r>
        <w:rPr>
          <w:i/>
          <w:color w:val="666666"/>
          <w:sz w:val="18"/>
        </w:rPr>
        <w:t>McCarron SA et al.  ·  Health Expect  ·  Aug. 2026  ·  PMID 42550057</w:t>
      </w:r>
    </w:p>
    <w:p>
      <w:r>
        <w:t>Partizipative Entwicklung einer Antenatalintervention zur Förderung der Impfakzeptanz in Nordirland mit Eltern, Patienten und Öffentlichkeit (Maternity Service Liaison Committee, Sure Start-Programme, aufsuchende Klinik für Ostriesische Gemeinde).</w:t>
      </w:r>
    </w:p>
    <w:p>
      <w:r>
        <w:rPr>
          <w:b/>
        </w:rPr>
        <w:t xml:space="preserve">Ergebnis: </w:t>
      </w:r>
      <w:r>
        <w:t>Input von Eltern und Gemeindevertreter prägte Inhalt, Timing und Präsentation der Impfinformation. Wichtigste Erkenntnisse: klare, einfache Sprachinformation früh in der Schwangerschaft erforderlich, Informationen müssen an verschiedene Bedürfnisse zugeschnitten werden. Vertrauen in etablierte Netzwerke unterstützte Engagement mit unterrepräsentierten Gruppen.</w:t>
      </w:r>
    </w:p>
    <w:p>
      <w:r>
        <w:rPr>
          <w:b/>
          <w:sz w:val="19"/>
        </w:rPr>
        <w:t xml:space="preserve">Übertragbarkeit: </w:t>
      </w:r>
      <w:r>
        <w:rPr>
          <w:sz w:val="19"/>
        </w:rPr>
        <w:t>UK-System; Methode der Bürgerbeteiligung übertragbar, aber Antenatalstrukturen unterscheiden sich</w:t>
      </w:r>
    </w:p>
    <w:p>
      <w:r>
        <w:rPr>
          <w:color w:val="5A7D3A"/>
          <w:sz w:val="18"/>
        </w:rPr>
        <w:t>https://pubmed.ncbi.nlm.nih.gov/42550057/</w:t>
      </w:r>
    </w:p>
    <w:p>
      <w:pPr>
        <w:pStyle w:val="Heading2"/>
      </w:pPr>
      <w:r>
        <w:t>Mpox-Impfstoff Jynneos: Sicherheitsprofil während Ausbruch in Deutschland bestätigt</w:t>
      </w:r>
    </w:p>
    <w:p>
      <w:r>
        <w:rPr>
          <w:i/>
          <w:color w:val="666666"/>
          <w:sz w:val="18"/>
        </w:rPr>
        <w:t>Oberle D et al.  ·  Euro Surveill  ·  Juli 2026  ·  PMID 42535289</w:t>
      </w:r>
    </w:p>
    <w:p>
      <w:r>
        <w:t>Überwachung unerwünschter Ereignisse nach MVA-BN-Impfung gegen Mpox in Deutschland Juni 2022 bis Februar 2024 bei 78.739 verabreichten Dosen.</w:t>
      </w:r>
    </w:p>
    <w:p>
      <w:r>
        <w:rPr>
          <w:b/>
        </w:rPr>
        <w:t xml:space="preserve">Ergebnis: </w:t>
      </w:r>
      <w:r>
        <w:t>32 Einzelfallberichte wurden identifiziert, davon 7 schwerwiegend; 87 unerwünschte Ereignisse insgesamt gemeldet (98,7 pro 100.000 Dosen adjustiert). Das Sicherheitsprofil entsprach der Produktcharakterisierung; keine neuen Sicherheitssignale wurden identifiziert. Lokale und systemische Reaktionen waren überwiegend mild bis moderat.</w:t>
      </w:r>
    </w:p>
    <w:p>
      <w:r>
        <w:rPr>
          <w:b/>
          <w:sz w:val="19"/>
        </w:rPr>
        <w:t xml:space="preserve">Übertragbarkeit: </w:t>
      </w:r>
      <w:r>
        <w:rPr>
          <w:sz w:val="19"/>
        </w:rPr>
        <w:t>Deutschland, eigenes Surveillancesystem, direkt übertragbar</w:t>
      </w:r>
    </w:p>
    <w:p>
      <w:r>
        <w:rPr>
          <w:color w:val="5A7D3A"/>
          <w:sz w:val="18"/>
        </w:rPr>
        <w:t>https://pubmed.ncbi.nlm.nih.gov/42535289/</w:t>
      </w:r>
    </w:p>
    <w:p>
      <w:pPr>
        <w:pStyle w:val="Heading2"/>
      </w:pPr>
      <w:r>
        <w:t>Determinanten der Influenza- und COVID-19-Impfquoten bei Hochrisikopatienten</w:t>
      </w:r>
    </w:p>
    <w:p>
      <w:r>
        <w:rPr>
          <w:i/>
          <w:color w:val="666666"/>
          <w:sz w:val="18"/>
        </w:rPr>
        <w:t>Grape L et al.  ·  Hum Vaccin Immunother  ·  28.07.2026  ·  PMID 42518305</w:t>
      </w:r>
    </w:p>
    <w:p>
      <w:r>
        <w:t>Querschnittsstudie mit semistandardisierten Interviews und Patientenakten bei 600 Notaufnahme-Patienten in Nordschweden zur Identifikation von Impfquoten und Barrieren bei Hochrisikogruppen.</w:t>
      </w:r>
    </w:p>
    <w:p>
      <w:r>
        <w:rPr>
          <w:b/>
        </w:rPr>
        <w:t xml:space="preserve">Ergebnis: </w:t>
      </w:r>
      <w:r>
        <w:t>Quote unter berechtigten Personen: 52,0% für Influenza, 54,2% für COVID-19. Koinfektion beider Impfstoffe hoch (aOR 55,33). Männliches Geschlecht (aOR 0,57), jüngeres Alter (aOR 0,50), Rauchen (aOR 0,43) und nur altersbasierte Berechtigung (aOR 0,41) waren mit niedriger Impfakzeptanz assoziiert. Gemeindeebene-Determinanten zeigten wenig Einfluss.</w:t>
      </w:r>
    </w:p>
    <w:p>
      <w:r>
        <w:rPr>
          <w:b/>
          <w:sz w:val="19"/>
        </w:rPr>
        <w:t xml:space="preserve">Übertragbarkeit: </w:t>
      </w:r>
      <w:r>
        <w:rPr>
          <w:sz w:val="19"/>
        </w:rPr>
        <w:t>Skandinavien, deutsches Versicherungssystem ähnlich, aber Datenquellen und Populationsmerkmale unterscheiden sich</w:t>
      </w:r>
    </w:p>
    <w:p>
      <w:r>
        <w:rPr>
          <w:color w:val="5A7D3A"/>
          <w:sz w:val="18"/>
        </w:rPr>
        <w:t>https://pubmed.ncbi.nlm.nih.gov/42518305/</w:t>
      </w:r>
    </w:p>
    <w:p>
      <w:pPr>
        <w:pStyle w:val="Heading2"/>
      </w:pPr>
      <w:r>
        <w:t>Null-Dosis-Kinder in Madagaskar identifizieren und erreichen</w:t>
      </w:r>
    </w:p>
    <w:p>
      <w:r>
        <w:rPr>
          <w:i/>
          <w:color w:val="666666"/>
          <w:sz w:val="18"/>
        </w:rPr>
        <w:t>Muller N et al.  ·  Bull World Health Organ  ·  01.08.2026  ·  PMID 42516117</w:t>
      </w:r>
    </w:p>
    <w:p>
      <w:r>
        <w:t>Gemeindegestützte Erhebung zur Ermittlung von Kindern ohne DTP-Impfdokumentation in 16 südmadagassischen Distrikten (August 2024–Juni 2025) mit 3.975 ausgebildeten Gemeindegesundheitshelfern und digitalen Werkzeugen.</w:t>
      </w:r>
    </w:p>
    <w:p>
      <w:r>
        <w:rPr>
          <w:b/>
        </w:rPr>
        <w:t xml:space="preserve">Ergebnis: </w:t>
      </w:r>
      <w:r>
        <w:t>81% der fokontanys (3.538/4.347) aktualisierten Register. Von 368.227 erfassten Kindern unter 5 Jahren hatten 58% (213.173) keine dokumentierte DTP-Dosis. Distriktweite Prävalenz von Null-Dosis-Kindern lag zwischen 25% und 86%. 42.700 Null-Dosis-Kinder wurden mit DTP geimpft und übertrafen Programmziel vorzeitig.</w:t>
      </w:r>
    </w:p>
    <w:p>
      <w:r>
        <w:rPr>
          <w:b/>
          <w:sz w:val="19"/>
        </w:rPr>
        <w:t xml:space="preserve">Übertragbarkeit: </w:t>
      </w:r>
      <w:r>
        <w:rPr>
          <w:sz w:val="19"/>
        </w:rPr>
        <w:t>Afrikanisches Setting; Digitale Hilfsmittel und Community-Engagement lokal anpassbar, aber Registrierungsinfrastruktur grundverschieden von Deutschland</w:t>
      </w:r>
    </w:p>
    <w:p>
      <w:r>
        <w:rPr>
          <w:color w:val="5A7D3A"/>
          <w:sz w:val="18"/>
        </w:rPr>
        <w:t>https://pubmed.ncbi.nlm.nih.gov/42516117/</w:t>
      </w:r>
    </w:p>
    <w:p>
      <w:pPr>
        <w:pStyle w:val="Heading2"/>
      </w:pPr>
      <w:r>
        <w:t>Impfskepsis im Kriegsgebiet Ukraine: Verhaltensmodellierung von Umfragedaten</w:t>
      </w:r>
    </w:p>
    <w:p>
      <w:r>
        <w:rPr>
          <w:i/>
          <w:color w:val="666666"/>
          <w:sz w:val="18"/>
        </w:rPr>
        <w:t>Naeem A et al.  ·  Health Policy  ·  17.07.2026  ·  PMID 42508188</w:t>
      </w:r>
    </w:p>
    <w:p>
      <w:r>
        <w:t>Agent-basierte Modellierung (ABM) von Impfverhalten in der konfliktbetroffenen Ukraine basierend auf Querschnittsbefragung in 557 Hromadas unter laufendem Krieg; Simulation der Wechselwirkung zwischen Verhaltens-, Struktur- und Sozialvariablen.</w:t>
      </w:r>
    </w:p>
    <w:p>
      <w:r>
        <w:rPr>
          <w:b/>
        </w:rPr>
        <w:t xml:space="preserve">Ergebnis: </w:t>
      </w:r>
      <w:r>
        <w:t>ABM zeigte, dass Impfakzeptanz durch Wechselspiel von Zugangsbarrieren und Peereinfluss gesteuert wird. Glaubenswechsel erreichten 88%; Vakzinierungsquote stieg um 3–15% durch Zugangsbeseitigung. Peer-Dynamiken erhöhten Impfquoten auf 69–89%. Peer-Konformität war dominanter Treiber, was auf Kollektivmechanismus zwischen Sozialsteckung und Verhaltensadoption hindeutet.</w:t>
      </w:r>
    </w:p>
    <w:p>
      <w:r>
        <w:rPr>
          <w:b/>
          <w:sz w:val="19"/>
        </w:rPr>
        <w:t xml:space="preserve">Übertragbarkeit: </w:t>
      </w:r>
      <w:r>
        <w:rPr>
          <w:sz w:val="19"/>
        </w:rPr>
        <w:t>Konfliktzone, begrenzt auf Kriegssituationen übertragbar; Methodologie der Verhaltensmodellierung relevant</w:t>
      </w:r>
    </w:p>
    <w:p>
      <w:r>
        <w:rPr>
          <w:color w:val="5A7D3A"/>
          <w:sz w:val="18"/>
        </w:rPr>
        <w:t>https://pubmed.ncbi.nlm.nih.gov/42508188/</w:t>
      </w:r>
    </w:p>
    <w:p>
      <w:pPr>
        <w:pStyle w:val="Heading2"/>
      </w:pPr>
      <w:r>
        <w:t>XBB.1.5-Impfstoff gegen schwere COVID-19 bei immungeschwächten Erwachsenen</w:t>
      </w:r>
    </w:p>
    <w:p>
      <w:r>
        <w:rPr>
          <w:i/>
          <w:color w:val="666666"/>
          <w:sz w:val="18"/>
        </w:rPr>
        <w:t>Blake A et al.  ·  Expert Rev Vaccines  ·  31.12.2026  ·  PMID 42504085</w:t>
      </w:r>
    </w:p>
    <w:p>
      <w:r>
        <w:t>Retrospektive multländer-Kohortenstudie mit elektronischen Gesundheitsakten in Belgien, Dänemark, Italien, Portugal, Spanien (Navarra) und Schweden zur Wirksamkeit des angepassten XBB.1.5-Impfstoffs gegen Hospitalisierung und Tod bei Immungeschwächten (ICPs).</w:t>
      </w:r>
    </w:p>
    <w:p>
      <w:r>
        <w:rPr>
          <w:b/>
        </w:rPr>
        <w:t xml:space="preserve">Ergebnis: </w:t>
      </w:r>
      <w:r>
        <w:t>XBB.1.5-Impfstoffwirksamkeit (VE) betrug 52% (95%-KI 41–60) gegen Hospitalisierung und 75% (95%-KI 60–84) gegen Tod in den ersten 14–59 Tagen nach Impfung. VE nahm mit zeitlichem Abstand ab; kein Schutz mehr nach 180–365 Tagen. Moderate Schutzwirkung innerhalb von 120 Tagen beobachtet.</w:t>
      </w:r>
    </w:p>
    <w:p>
      <w:r>
        <w:rPr>
          <w:b/>
          <w:sz w:val="19"/>
        </w:rPr>
        <w:t xml:space="preserve">Übertragbarkeit: </w:t>
      </w:r>
      <w:r>
        <w:rPr>
          <w:sz w:val="19"/>
        </w:rPr>
        <w:t>Europäische EHR-Netzwerk; vergleichbare Gesundheitssysteme (Belgien, Dänemark, Schweden, südliche EU)</w:t>
      </w:r>
    </w:p>
    <w:p>
      <w:r>
        <w:rPr>
          <w:color w:val="5A7D3A"/>
          <w:sz w:val="18"/>
        </w:rPr>
        <w:t>https://pubmed.ncbi.nlm.nih.gov/42504085/</w:t>
      </w:r>
    </w:p>
    <w:p>
      <w:pPr>
        <w:pStyle w:val="Heading1"/>
      </w:pPr>
      <w:r>
        <w:t>Aufgenommen am 28.08.2026</w:t>
      </w:r>
    </w:p>
    <w:p>
      <w:pPr>
        <w:pStyle w:val="Heading2"/>
      </w:pPr>
      <w:r>
        <w:t>Influenza-Impfung reduziert Todesfälle bei hospitalisiertem älteren Alter</w:t>
      </w:r>
    </w:p>
    <w:p>
      <w:r>
        <w:rPr>
          <w:i/>
          <w:color w:val="666666"/>
          <w:sz w:val="18"/>
        </w:rPr>
        <w:t>Marques DFP et al.  ·  Expert Rev Vaccines  ·  27.08.2026  ·  PMID 42657682</w:t>
      </w:r>
    </w:p>
    <w:p>
      <w:r>
        <w:t>Retrospektive Kohortenstudie aus dem europäischen I-MOVE-Netzwerk untersuchte die Assoziation zwischen Influenza-Impfung und schweren Outcomes bei ≥65-jährigen mit laborbestätigter Influenza (2015/16–2024/25).</w:t>
      </w:r>
    </w:p>
    <w:p>
      <w:r>
        <w:rPr>
          <w:b/>
        </w:rPr>
        <w:t xml:space="preserve">Ergebnis: </w:t>
      </w:r>
      <w:r>
        <w:t>Bei 4.257 Patienten zeigte Impfung wenig Assoziation mit ICU-Aufnahmen (RRR 11 %, 95% CI: -21–34), aber war mit 26-prozentiger Reduktion der Todesfälle während Hospitalisierung assoziiert (95% CI: 3–43). In der älteren Gruppe ≥80 Jahre betrug die Reduktion der In-Hospital-Mortalität 29%.</w:t>
      </w:r>
    </w:p>
    <w:p>
      <w:r>
        <w:rPr>
          <w:b/>
          <w:sz w:val="19"/>
        </w:rPr>
        <w:t xml:space="preserve">Übertragbarkeit: </w:t>
      </w:r>
      <w:r>
        <w:rPr>
          <w:sz w:val="19"/>
        </w:rPr>
        <w:t>Europäische Klinikdaten, vergleichbare Dokumentationspflichten, direkt auf Deutschland übertragbar.</w:t>
      </w:r>
    </w:p>
    <w:p>
      <w:r>
        <w:rPr>
          <w:color w:val="5A7D3A"/>
          <w:sz w:val="18"/>
        </w:rPr>
        <w:t>https://pubmed.ncbi.nlm.nih.gov/42657682/</w:t>
      </w:r>
    </w:p>
    <w:p>
      <w:pPr>
        <w:pStyle w:val="Heading2"/>
      </w:pPr>
      <w:r>
        <w:t>Unregistrierte Migranten-Kinder unterimpft: Rechtszugang ist zentral</w:t>
      </w:r>
    </w:p>
    <w:p>
      <w:r>
        <w:rPr>
          <w:i/>
          <w:color w:val="666666"/>
          <w:sz w:val="18"/>
        </w:rPr>
        <w:t>Oo SM et al.  ·  Med Sci (Basel)  ·  02.08.2026  ·  PMID 42646586</w:t>
      </w:r>
    </w:p>
    <w:p>
      <w:r>
        <w:t>Querschnittstudie mit 423 burmesischen Migrantenkinder unter 7 Jahren in Nord-Thailand; Faktoren für unvollständige Impfungen wurden gemessen (2025).</w:t>
      </w:r>
    </w:p>
    <w:p>
      <w:r>
        <w:rPr>
          <w:b/>
        </w:rPr>
        <w:t xml:space="preserve">Ergebnis: </w:t>
      </w:r>
      <w:r>
        <w:t>21,5 % waren unterimpft. Unabhängige Risikofaktoren: Fehlen von Geburtsregistrierung (aOR 9,52, 95% CI 3,74–24,27), fehlende Krankenversicherung (aOR 14,03, 95% CI 6,45–30,54), Rückkehr-Migration (aOR 19,05, 95% CI 8,48–44,13), Zeitbarrieren (aOR 4,09, 95% CI 1,20–13,94) und finanzielle Barrieren (aOR 7,07, 95% CI 1,67–29,91).</w:t>
      </w:r>
    </w:p>
    <w:p>
      <w:r>
        <w:rPr>
          <w:b/>
          <w:sz w:val="19"/>
        </w:rPr>
        <w:t xml:space="preserve">Übertragbarkeit: </w:t>
      </w:r>
      <w:r>
        <w:rPr>
          <w:sz w:val="19"/>
        </w:rPr>
        <w:t>Thailand; zeigt strukturelle Hürden bei Migranten; relevante Erkenntnisse für Deutschland bei Flucht und Asyl.</w:t>
      </w:r>
    </w:p>
    <w:p>
      <w:r>
        <w:rPr>
          <w:color w:val="5A7D3A"/>
          <w:sz w:val="18"/>
        </w:rPr>
        <w:t>https://pubmed.ncbi.nlm.nih.gov/42646586/</w:t>
      </w:r>
    </w:p>
    <w:p>
      <w:pPr>
        <w:pStyle w:val="Heading2"/>
      </w:pPr>
      <w:r>
        <w:t>Impfskepsis ist stärkste Barriere in fragiler Lage: Somaliisches Feldbeispiel</w:t>
      </w:r>
    </w:p>
    <w:p>
      <w:r>
        <w:rPr>
          <w:i/>
          <w:color w:val="666666"/>
          <w:sz w:val="18"/>
        </w:rPr>
        <w:t>Abdi MS et al.  ·  Front Public Health  ·  11.08.2026  ·  PMID 42643472</w:t>
      </w:r>
    </w:p>
    <w:p>
      <w:r>
        <w:t>Querschnittsbefragung von 384 Betreuungspersonen in IDP-Lagern in Mogadischu nach Diphtherie-Impfkampagne; Einflussfaktoren auf Durchimpfung wurden geprüft (2026).</w:t>
      </w:r>
    </w:p>
    <w:p>
      <w:r>
        <w:rPr>
          <w:b/>
        </w:rPr>
        <w:t xml:space="preserve">Ergebnis: </w:t>
      </w:r>
      <w:r>
        <w:t>Gesamte Impfquote 57,6 %. Höhere Impfbedenken-Scores (Vaccine Safety Concern Scale) waren mit deutlich niedrigerem Impfrisiko assoziiert (aOR 0,72, 95% CI 0,57–0,90). Schulbildung der Eltern, Vertrauen in Gesundheitsarbeiter und wahrgenommener Zugang waren nicht signifikant assoziiert.</w:t>
      </w:r>
    </w:p>
    <w:p>
      <w:r>
        <w:rPr>
          <w:b/>
          <w:sz w:val="19"/>
        </w:rPr>
        <w:t xml:space="preserve">Übertragbarkeit: </w:t>
      </w:r>
      <w:r>
        <w:rPr>
          <w:sz w:val="19"/>
        </w:rPr>
        <w:t>Somaliisch; zeigt, dass Sicherheitsbedenken auch bei fragilen Populationen zentral sind; Lernpunkte für Notfall-Impfkampagnen.</w:t>
      </w:r>
    </w:p>
    <w:p>
      <w:r>
        <w:rPr>
          <w:color w:val="5A7D3A"/>
          <w:sz w:val="18"/>
        </w:rPr>
        <w:t>https://pubmed.ncbi.nlm.nih.gov/42643472/</w:t>
      </w:r>
    </w:p>
    <w:p>
      <w:pPr>
        <w:pStyle w:val="Heading2"/>
      </w:pPr>
      <w:r>
        <w:t>Gesunde-Impfling-Effekt bei COVID-19-Vakzine in älteren Gruppen</w:t>
      </w:r>
    </w:p>
    <w:p>
      <w:r>
        <w:rPr>
          <w:i/>
          <w:color w:val="666666"/>
          <w:sz w:val="18"/>
        </w:rPr>
        <w:t>Lyth J et al.  ·  Nat Commun  ·  08.08.2026  ·  PMID 42570961</w:t>
      </w:r>
    </w:p>
    <w:p>
      <w:r>
        <w:t>Schwedenweite Kohortenstudie in Bevölkerung ≥65 Jahren untersuchte die Effektivität der 2024–2025 JN.1-adaptierten COVID-19-Vakzine gegen Hospitalisierung und als Negativkontrolle All-Cause-Mortalität (N=245.696, Oktober 2024–März 2025).</w:t>
      </w:r>
    </w:p>
    <w:p>
      <w:r>
        <w:rPr>
          <w:b/>
        </w:rPr>
        <w:t xml:space="preserve">Ergebnis: </w:t>
      </w:r>
      <w:r>
        <w:t>VE gegen COVID-Hospitalisierung 75 % (95% CI 70–79 %), bei Vorimpfung 2023–24 sogar 84 % (95% CI 80–87 %). Kritisch: All-Cause-Mortalität (Negativkontrolle) war in der geimpften Gruppe um 57 % niedriger (HR 0,43, 95% CI 0,40–0,45), was auf Selektionseffekte durch Frailty hindeutet.</w:t>
      </w:r>
    </w:p>
    <w:p>
      <w:r>
        <w:rPr>
          <w:b/>
          <w:sz w:val="19"/>
        </w:rPr>
        <w:t xml:space="preserve">Übertragbarkeit: </w:t>
      </w:r>
      <w:r>
        <w:rPr>
          <w:sz w:val="19"/>
        </w:rPr>
        <w:t>Skandinavisch, vergleichbares Versorgungssystem; Befund zu Selektionsverzerrung universell relevant.</w:t>
      </w:r>
    </w:p>
    <w:p>
      <w:r>
        <w:rPr>
          <w:color w:val="5A7D3A"/>
          <w:sz w:val="18"/>
        </w:rPr>
        <w:t>https://pubmed.ncbi.nlm.nih.gov/42570961/</w:t>
      </w:r>
    </w:p>
    <w:p>
      <w:pPr>
        <w:pStyle w:val="Heading2"/>
      </w:pPr>
      <w:r>
        <w:t>Schulungskurs verbessert Wissen von Apothekern zur Impfung</w:t>
      </w:r>
    </w:p>
    <w:p>
      <w:r>
        <w:rPr>
          <w:i/>
          <w:color w:val="666666"/>
          <w:sz w:val="18"/>
        </w:rPr>
        <w:t>Waszkiewicz M et al.  ·  Med Sci Monit  ·  05.08.2026  ·  PMID 42552681</w:t>
      </w:r>
    </w:p>
    <w:p>
      <w:r>
        <w:t>Pre-post-Studie in Polen evaluierte Wissenszuwachs bei Apothekern nach Fortbildung zur Influenza- und Pneumokokken-Impfung (Februar 2024–Juli 2025).</w:t>
      </w:r>
    </w:p>
    <w:p>
      <w:r>
        <w:rPr>
          <w:b/>
        </w:rPr>
        <w:t xml:space="preserve">Ergebnis: </w:t>
      </w:r>
      <w:r>
        <w:t>Unter 327 Absolventen stieg das Testscore signifikant um 4,7 Punkte (Mdiff = –4,67, 95% CI: –4,99 bis –4,34, d = 1,55, p &lt; 0,001). Das entspricht ca. 23 % der maximalen Testscore-Steigerung und wurde als großer Effekt beurteilt.</w:t>
      </w:r>
    </w:p>
    <w:p>
      <w:r>
        <w:rPr>
          <w:b/>
          <w:sz w:val="19"/>
        </w:rPr>
        <w:t xml:space="preserve">Übertragbarkeit: </w:t>
      </w:r>
      <w:r>
        <w:rPr>
          <w:sz w:val="19"/>
        </w:rPr>
        <w:t>Polen hat Apothekern 2024 Impfkompetenz übertragen; strukturiertes Angebot seit kurzem auch in Deutschland möglich.</w:t>
      </w:r>
    </w:p>
    <w:p>
      <w:r>
        <w:rPr>
          <w:color w:val="5A7D3A"/>
          <w:sz w:val="18"/>
        </w:rPr>
        <w:t>https://pubmed.ncbi.nlm.nih.gov/42552681/</w:t>
      </w:r>
    </w:p>
    <w:p>
      <w:pPr>
        <w:pStyle w:val="Heading2"/>
      </w:pPr>
      <w:r>
        <w:t>Schulkrankenschwestern unterverimpfter Gemeinden: HPV-Impfung braucht Systemunterstützung</w:t>
      </w:r>
    </w:p>
    <w:p>
      <w:r>
        <w:rPr>
          <w:i/>
          <w:color w:val="666666"/>
          <w:sz w:val="18"/>
        </w:rPr>
        <w:t>Avermark H et al.  ·  Hum Vaccin Immunother  ·  29.07.2026  ·  PMID 42527395</w:t>
      </w:r>
    </w:p>
    <w:p>
      <w:r>
        <w:t>Qualitative Studie mit 21 Interviews von Schulkrankenschwestern in unterversorgten Stockholmer Stadtteilen zur HPV-Impfung von Jugendlichen (Juni–November 2024).</w:t>
      </w:r>
    </w:p>
    <w:p>
      <w:r>
        <w:rPr>
          <w:b/>
        </w:rPr>
        <w:t xml:space="preserve">Ergebnis: </w:t>
      </w:r>
      <w:r>
        <w:t>Drei Themen: (1) Schulkrankenschwestern tragen HPV-Impfung allein, ohne institutionelle Unterstützung; (2) Duale Verantwortung zwischen Einzelbetreuung und Public Health schafft Rollenkonflikte; (3) Schwierigkeit im Umgang mit Tabuisierung von HPV und Sexualität. Hohe Arbeitsbelastung und normative Vorstellungen zu Sex behindern Uptake.</w:t>
      </w:r>
    </w:p>
    <w:p>
      <w:r>
        <w:rPr>
          <w:b/>
          <w:sz w:val="19"/>
        </w:rPr>
        <w:t xml:space="preserve">Übertragbarkeit: </w:t>
      </w:r>
      <w:r>
        <w:rPr>
          <w:sz w:val="19"/>
        </w:rPr>
        <w:t>Schweden, ähnliches Schulsystem und Impfprogramm; zeigt Systemdefizite bei dezentraler HPV-Angebotsumsetzung.</w:t>
      </w:r>
    </w:p>
    <w:p>
      <w:r>
        <w:rPr>
          <w:color w:val="5A7D3A"/>
          <w:sz w:val="18"/>
        </w:rPr>
        <w:t>https://pubmed.ncbi.nlm.nih.gov/42527395/</w:t>
      </w:r>
    </w:p>
    <w:p>
      <w:pPr>
        <w:pStyle w:val="Heading1"/>
      </w:pPr>
      <w:r>
        <w:t>Aufgenommen am 27.08.2026</w:t>
      </w:r>
    </w:p>
    <w:p>
      <w:pPr>
        <w:pStyle w:val="Heading2"/>
      </w:pPr>
      <w:r>
        <w:t>Finnlands zentrales Impfsystem erreicht hohe Quoten, kämpft aber mit Eigenverantwortung und Chancengerechtigkeit</w:t>
      </w:r>
    </w:p>
    <w:p>
      <w:r>
        <w:rPr>
          <w:i/>
          <w:color w:val="666666"/>
          <w:sz w:val="18"/>
        </w:rPr>
        <w:t>Pattyn J et al.  ·  Hum Vaccin Immunother  ·  26.08.2026  ·  PMID 42647143</w:t>
      </w:r>
    </w:p>
    <w:p>
      <w:r>
        <w:t>Eine strukturierte Literaturanalyse mit Experteneingaben beschrieb Finnlands National Vaccination Program (NVP) für Erwachsene, seine Stärken und Hürden.</w:t>
      </w:r>
    </w:p>
    <w:p>
      <w:r>
        <w:rPr>
          <w:b/>
        </w:rPr>
        <w:t xml:space="preserve">Ergebnis: </w:t>
      </w:r>
      <w:r>
        <w:t>Finnlands zentralisiertes, kostenlos bereitgestelltes NVP mit Bevölkerungsregistern erlaubt präzise Monitoring von Abdeckung, Sicherheit und Wirkung. Herausforderungen: Impfung ist individuelle Verantwortung (Compliance-Problem), Kosten für nicht-NVP-Impfstoffe erzeugen Ungleichheit, Impfvertrauen leicht rückläufig. Die CUBE wurde gegründet, um Verhaltensbarrieren zu verstehen.</w:t>
      </w:r>
    </w:p>
    <w:p>
      <w:r>
        <w:rPr>
          <w:b/>
          <w:sz w:val="19"/>
        </w:rPr>
        <w:t xml:space="preserve">Übertragbarkeit: </w:t>
      </w:r>
      <w:r>
        <w:rPr>
          <w:sz w:val="19"/>
        </w:rPr>
        <w:t>skandinavisch mit Impfregister; zeigt Möglichkeiten und Limits zentralisierter Systeme.</w:t>
      </w:r>
    </w:p>
    <w:p>
      <w:r>
        <w:rPr>
          <w:color w:val="5A7D3A"/>
          <w:sz w:val="18"/>
        </w:rPr>
        <w:t>https://pubmed.ncbi.nlm.nih.gov/42647143/</w:t>
      </w:r>
    </w:p>
    <w:p>
      <w:pPr>
        <w:pStyle w:val="Heading2"/>
      </w:pPr>
      <w:r>
        <w:t>HPV-Wissen und Vertrauen in Gesundheitsbehörden prägen Impfbereitschaft in Rumänien</w:t>
      </w:r>
    </w:p>
    <w:p>
      <w:r>
        <w:rPr>
          <w:i/>
          <w:color w:val="666666"/>
          <w:sz w:val="18"/>
        </w:rPr>
        <w:t>Nati ID et al.  ·  Med Sci (Basel)  ·  25.07.2026  ·  PMID 42646566</w:t>
      </w:r>
    </w:p>
    <w:p>
      <w:r>
        <w:t>Eine rumänische Querschnittsumfrage untersuchte kognitive und institutionelle Faktoren für HPV-Impfbereitschaft bei erwachsenen Frauen.</w:t>
      </w:r>
    </w:p>
    <w:p>
      <w:r>
        <w:rPr>
          <w:b/>
        </w:rPr>
        <w:t xml:space="preserve">Ergebnis: </w:t>
      </w:r>
      <w:r>
        <w:t>Unter 368 Befragten lag die Impfquote nur bei 28,6 %. Hohes HPV-Wissen korrelierte mit Impfbereitschaft (p=0,001), ebenso Vertrauen in Behörden. Digitale Fehlinformation zeigte schwachen negativen Zusammenhang mit Wissen, beeinflusste aber Impfbereitschaft nicht direkt. Die Autoren empfehlen Übergang von optionalem zu aktivem Angebot (Opt-out-Modell).</w:t>
      </w:r>
    </w:p>
    <w:p>
      <w:r>
        <w:rPr>
          <w:b/>
          <w:sz w:val="19"/>
        </w:rPr>
        <w:t xml:space="preserve">Übertragbarkeit: </w:t>
      </w:r>
      <w:r>
        <w:rPr>
          <w:sz w:val="19"/>
        </w:rPr>
        <w:t>Süd-/Osteuropa mit ähnlicher administrativer Struktur; zeigt Wirkung von Vertrauen und Struktur.</w:t>
      </w:r>
    </w:p>
    <w:p>
      <w:r>
        <w:rPr>
          <w:color w:val="5A7D3A"/>
          <w:sz w:val="18"/>
        </w:rPr>
        <w:t>https://pubmed.ncbi.nlm.nih.gov/42646566/</w:t>
      </w:r>
    </w:p>
    <w:p>
      <w:pPr>
        <w:pStyle w:val="Heading2"/>
      </w:pPr>
      <w:r>
        <w:t>Lesbarer Weblink in digitalen Impfeinladungen erhöht Vertrauen und Buchungsbereitschaft</w:t>
      </w:r>
    </w:p>
    <w:p>
      <w:r>
        <w:rPr>
          <w:i/>
          <w:color w:val="666666"/>
          <w:sz w:val="18"/>
        </w:rPr>
        <w:t>Oakley CM et al.  ·  J Med Internet Res  ·  25.08.2026  ·  PMID 42640841</w:t>
      </w:r>
    </w:p>
    <w:p>
      <w:r>
        <w:t>Drei randomisierte Onlinestudien mit britischen Teilnehmern testeten, wie das Design von Web-Links in digitalen COVID-19-Impfeinladungen Vertrauen und Buchungsbereitschaft beeinflusst.</w:t>
      </w:r>
    </w:p>
    <w:p>
      <w:r>
        <w:rPr>
          <w:b/>
        </w:rPr>
        <w:t xml:space="preserve">Ergebnis: </w:t>
      </w:r>
      <w:r>
        <w:t>Im Kontrollarm (komplizierter Link) waren 63 % unsicher oder unwillig, ihn zu nutzen. Ein klarer Link (‚vaccine-booking.nhs.uk') verbesserte das Vertrauen (β=0,26 in Exp.1, β=0,24 in Exp.3), ebenso ein Text-eingebetteter Link (β=0,18 in Exp.2, β=0,17 in Exp.3). Ein verkürzter Link brachte keinen Gewinn. Einfache, erkennbare Links erhöhten Buchungsintention über verbessertes Vertrauen und Host-Erkennung.</w:t>
      </w:r>
    </w:p>
    <w:p>
      <w:r>
        <w:rPr>
          <w:b/>
          <w:sz w:val="19"/>
        </w:rPr>
        <w:t xml:space="preserve">Übertragbarkeit: </w:t>
      </w:r>
      <w:r>
        <w:rPr>
          <w:sz w:val="19"/>
        </w:rPr>
        <w:t>Großbritannien; einfache Designprinzipien auch für deutsches Portal- und E-Mail-System anwendbar.</w:t>
      </w:r>
    </w:p>
    <w:p>
      <w:r>
        <w:rPr>
          <w:color w:val="5A7D3A"/>
          <w:sz w:val="18"/>
        </w:rPr>
        <w:t>https://pubmed.ncbi.nlm.nih.gov/42640841/</w:t>
      </w:r>
    </w:p>
    <w:p>
      <w:pPr>
        <w:pStyle w:val="Heading2"/>
      </w:pPr>
      <w:r>
        <w:t>Schwere Nebenwirkungen nach COVID-19-Auffrischung vermindern die Bereitschaft zur erneuten Impfung</w:t>
      </w:r>
    </w:p>
    <w:p>
      <w:r>
        <w:rPr>
          <w:i/>
          <w:color w:val="666666"/>
          <w:sz w:val="18"/>
        </w:rPr>
        <w:t>Huiberts AJ et al.  ·  Vaccine  ·  17.09.2026  ·  PMID 42603508</w:t>
      </w:r>
    </w:p>
    <w:p>
      <w:r>
        <w:t>Eine niederländische Kohortenstudie untersuchte, ob das Auftreten und die Schwere von Nebenwirkungen nach COVID-19-Auffrischimpfungen die Bereitschaft zur Impfung im Folgejahr beeinflussen.</w:t>
      </w:r>
    </w:p>
    <w:p>
      <w:r>
        <w:rPr>
          <w:b/>
        </w:rPr>
        <w:t xml:space="preserve">Ergebnis: </w:t>
      </w:r>
      <w:r>
        <w:t>Von 11.010 Geimpften (2022) waren 73,7 % im nächsten Jahr erneut geimpft. Systémische Nebenwirkungen 2022 waren mit niedrigerem Risiko für Wiederimpfung 2023 verbunden (OR 0,84, 95%-KI 0,76–0,93), besonders bei mittleren (OR 0,79) oder schweren Ereignissen (OR 0,45) sowie Dauer &gt;5 Tagen (OR 0,72). Das Muster wiederholte sich für 2024. Dies zeigt, dass direkte Erfahrungen mit Nebenwirkungen künftige Impfbereitschaft senken.</w:t>
      </w:r>
    </w:p>
    <w:p>
      <w:r>
        <w:rPr>
          <w:b/>
          <w:sz w:val="19"/>
        </w:rPr>
        <w:t xml:space="preserve">Übertragbarkeit: </w:t>
      </w:r>
      <w:r>
        <w:rPr>
          <w:sz w:val="19"/>
        </w:rPr>
        <w:t>Niederlande mit Impfregister; deutsche Routinedaten vergleichbar.</w:t>
      </w:r>
    </w:p>
    <w:p>
      <w:r>
        <w:rPr>
          <w:color w:val="5A7D3A"/>
          <w:sz w:val="18"/>
        </w:rPr>
        <w:t>https://pubmed.ncbi.nlm.nih.gov/42603508/</w:t>
      </w:r>
    </w:p>
    <w:p>
      <w:pPr>
        <w:pStyle w:val="Heading2"/>
      </w:pPr>
      <w:r>
        <w:t>Messaging zu ‚gesundem Altern' erhöht Impfbereitschaft bei älteren Erwachsenen in Frankreich</w:t>
      </w:r>
    </w:p>
    <w:p>
      <w:r>
        <w:rPr>
          <w:i/>
          <w:color w:val="666666"/>
          <w:sz w:val="18"/>
        </w:rPr>
        <w:t>Addario A et al.  ·  Vaccine  ·  17.09.2026  ·  PMID 42594637</w:t>
      </w:r>
    </w:p>
    <w:p>
      <w:r>
        <w:t>Eine französische Querschnittsumfrage mit Social-Marketing-Ansatz testete, welche Botschaften und Zugangsmerkmale die Impfintention bei Älteren (≥60 Jahren) verbessern.</w:t>
      </w:r>
    </w:p>
    <w:p>
      <w:r>
        <w:rPr>
          <w:b/>
        </w:rPr>
        <w:t xml:space="preserve">Ergebnis: </w:t>
      </w:r>
      <w:r>
        <w:t>Von 2.416 Befragten hatten 15,6 % hohe, 81,7 % mittlere und 2,8 % niedrige Impfbereitschaft. Zustimmung, dass Impfung zu gesundem Altern beiträgt, stieg von 3 % (niedrig) auf 56 % (mittel) und 78 % (hoch). Botschaften zu Schlag- und Herzinfarktrisiko zeigten höchste Intention (69–67 %). Gültigkeitsvoucher wurden positiv aufgenommen (57–81 % würden impfen lassen). Ärzte waren vertrauteste Informationsquelle (93–95 %).</w:t>
      </w:r>
    </w:p>
    <w:p>
      <w:r>
        <w:rPr>
          <w:b/>
          <w:sz w:val="19"/>
        </w:rPr>
        <w:t xml:space="preserve">Übertragbarkeit: </w:t>
      </w:r>
      <w:r>
        <w:rPr>
          <w:sz w:val="19"/>
        </w:rPr>
        <w:t>Frankreich mit ähnlichem Versicherungssystem; Fokus auf Rahmung und Zugang in DACH übertragbar.</w:t>
      </w:r>
    </w:p>
    <w:p>
      <w:r>
        <w:rPr>
          <w:color w:val="5A7D3A"/>
          <w:sz w:val="18"/>
        </w:rPr>
        <w:t>https://pubmed.ncbi.nlm.nih.gov/42594637/</w:t>
      </w:r>
    </w:p>
    <w:p>
      <w:pPr>
        <w:pStyle w:val="Heading2"/>
      </w:pPr>
      <w:r>
        <w:t>Omicron-JN.1-Impfstoff bot in den Niederlanden nur begrenzte Zusatzschutzwirkung</w:t>
      </w:r>
    </w:p>
    <w:p>
      <w:r>
        <w:rPr>
          <w:i/>
          <w:color w:val="666666"/>
          <w:sz w:val="18"/>
        </w:rPr>
        <w:t>Huiberts AJ et al.  ·  Vaccine  ·  17.09.2026  ·  PMID 42585808</w:t>
      </w:r>
    </w:p>
    <w:p>
      <w:r>
        <w:t>Eine prospektive holländische Kohortenstudie quantifizierte die Wirksamkeit der JN.1-Varianten-angepassten COVID-19-Impfung gegen Infektionen von September 2024 bis Februar 2025.</w:t>
      </w:r>
    </w:p>
    <w:p>
      <w:r>
        <w:rPr>
          <w:b/>
        </w:rPr>
        <w:t xml:space="preserve">Ergebnis: </w:t>
      </w:r>
      <w:r>
        <w:t>Von 4.490 Teilnehmern &lt;60 Jahren waren 29 % geimpft, von 19.349 Älteren 74 %. Bei 2.142 Infektionen betrug die Impfwirksamkeit 16 % (&lt;60 Jahre, 95%-KI –11–36) und 13 % (≥60 Jahre, 95%-KI 2–23). Gegen KP.3.1.1 und XEC unterschied sich der Schutz nicht signifikant. Die begrenzte Schutzwirkung in einer Phase niedriger Inzidenz deutet auf waning immunity hin.</w:t>
      </w:r>
    </w:p>
    <w:p>
      <w:r>
        <w:rPr>
          <w:b/>
          <w:sz w:val="19"/>
        </w:rPr>
        <w:t xml:space="preserve">Übertragbarkeit: </w:t>
      </w:r>
      <w:r>
        <w:rPr>
          <w:sz w:val="19"/>
        </w:rPr>
        <w:t>Niederlande mit vollständiger Impfdokumentation und genetischer Variantenbestimmung.</w:t>
      </w:r>
    </w:p>
    <w:p>
      <w:r>
        <w:rPr>
          <w:color w:val="5A7D3A"/>
          <w:sz w:val="18"/>
        </w:rPr>
        <w:t>https://pubmed.ncbi.nlm.nih.gov/42585808/</w:t>
      </w:r>
    </w:p>
    <w:p>
      <w:pPr>
        <w:pStyle w:val="Heading1"/>
      </w:pPr>
      <w:r>
        <w:t>Aufgenommen am 26.08.2026</w:t>
      </w:r>
    </w:p>
    <w:p>
      <w:pPr>
        <w:pStyle w:val="Heading2"/>
      </w:pPr>
      <w:r>
        <w:t>Influenza-Impfskepsis bei georgischen Gesundheitspersonal senkt Impfquote über drei Jahre</w:t>
      </w:r>
    </w:p>
    <w:p>
      <w:r>
        <w:rPr>
          <w:i/>
          <w:color w:val="666666"/>
          <w:sz w:val="18"/>
        </w:rPr>
        <w:t>Artemchuk O et al.  ·  PLoS One  ·  25.08.2026  ·  PMID 42640914</w:t>
      </w:r>
    </w:p>
    <w:p>
      <w:r>
        <w:t>Prospektive Kohortenstudie in Georgien mit 403 Krankenhausmitarbeitenden über drei Influenza-Saisons (2021–2024): Welche Faktoren beeinflussen die Annahme der jährlichen Influenza-Impfung?</w:t>
      </w:r>
    </w:p>
    <w:p>
      <w:r>
        <w:rPr>
          <w:b/>
        </w:rPr>
        <w:t xml:space="preserve">Ergebnis: </w:t>
      </w:r>
      <w:r>
        <w:t>72 % erhielten mindestens einmal die Impfung, 28 % nie. Mangelndes Vertrauen in Sicherheit (aOR 0,27) und Wirksamkeit (aOR 0,36) sowie das Alter 40–49 Jahre (aOR 2,67) waren die Hauptfaktoren. Eine Klinik hatte deutlich niedrigere Quoten (aOR 0,06).</w:t>
      </w:r>
    </w:p>
    <w:p>
      <w:r>
        <w:rPr>
          <w:b/>
          <w:sz w:val="19"/>
        </w:rPr>
        <w:t xml:space="preserve">Übertragbarkeit: </w:t>
      </w:r>
      <w:r>
        <w:rPr>
          <w:sz w:val="19"/>
        </w:rPr>
        <w:t>Kaukasus-Region mit WHO-Partner, aber begrenzte Übertragbarkeit auf deutsches System ohne Impfregister.</w:t>
      </w:r>
    </w:p>
    <w:p>
      <w:r>
        <w:rPr>
          <w:color w:val="5A7D3A"/>
          <w:sz w:val="18"/>
        </w:rPr>
        <w:t>https://pubmed.ncbi.nlm.nih.gov/42640914/</w:t>
      </w:r>
    </w:p>
    <w:p>
      <w:pPr>
        <w:pStyle w:val="Heading2"/>
      </w:pPr>
      <w:r>
        <w:t>Impfquote bei 24-Monate-Alten in Italien von 92,75 % auf 94,57 % durch Reorganisation der Dienste</w:t>
      </w:r>
    </w:p>
    <w:p>
      <w:r>
        <w:rPr>
          <w:i/>
          <w:color w:val="666666"/>
          <w:sz w:val="18"/>
        </w:rPr>
        <w:t>Scala A et al.  ·  Front Public Health  ·  10.08.2026  ·  PMID 42638716</w:t>
      </w:r>
    </w:p>
    <w:p>
      <w:r>
        <w:t>Qualitäts-Verbesserungsprojekt in ASL Napoli 3 Sud 2022–2024 mit M.A.S.T.E.R.-Framework: Wie ließ sich die gefallene Abdeckung von Primärserien wieder heben?</w:t>
      </w:r>
    </w:p>
    <w:p>
      <w:r>
        <w:rPr>
          <w:b/>
        </w:rPr>
        <w:t xml:space="preserve">Ergebnis: </w:t>
      </w:r>
      <w:r>
        <w:t>Quote 2023: 92,75 % (Rückgang von 94,57 % 2022). Nach Interventionen (standardisierte Erinnerungen, digitale Kalender, Schulung, Logistik-Überprüfung): 2024 → 94,57 % (+1,82 Pp.). Erinnerungen stiegen von 1.248 auf 2.136, vollendete Nachholtermine von 286 auf 612. Pädiater-Kooperation von 54,2 % auf 87,3 %.</w:t>
      </w:r>
    </w:p>
    <w:p>
      <w:r>
        <w:rPr>
          <w:b/>
          <w:sz w:val="19"/>
        </w:rPr>
        <w:t xml:space="preserve">Übertragbarkeit: </w:t>
      </w:r>
      <w:r>
        <w:rPr>
          <w:sz w:val="19"/>
        </w:rPr>
        <w:t>Italien, südeuropäisches Sozialversicherungssystem, Dokumentation ähnlich Deutschland-Anforderungen.</w:t>
      </w:r>
    </w:p>
    <w:p>
      <w:r>
        <w:rPr>
          <w:color w:val="5A7D3A"/>
          <w:sz w:val="18"/>
        </w:rPr>
        <w:t>https://pubmed.ncbi.nlm.nih.gov/42638716/</w:t>
      </w:r>
    </w:p>
    <w:p>
      <w:pPr>
        <w:pStyle w:val="Heading2"/>
      </w:pPr>
      <w:r>
        <w:t>Schwangere in Gambia: Lücken beim COVID-19-Impfstoffzugang trotz neuer Leitlinien</w:t>
      </w:r>
    </w:p>
    <w:p>
      <w:r>
        <w:rPr>
          <w:i/>
          <w:color w:val="666666"/>
          <w:sz w:val="18"/>
        </w:rPr>
        <w:t>Nkereuwem O et al.  ·  BMJ Open  ·  20.08.2026  ·  PMID 42624601</w:t>
      </w:r>
    </w:p>
    <w:p>
      <w:r>
        <w:t>Qualitative Studie in Gambia mit 15 Fachpersonen und 29 Workshop-Teilnehmenden: Welche Barrieren verhindern, dass Schwangere COVID-19-Impfstoffe erhalten?</w:t>
      </w:r>
    </w:p>
    <w:p>
      <w:r>
        <w:rPr>
          <w:b/>
        </w:rPr>
        <w:t xml:space="preserve">Ergebnis: </w:t>
      </w:r>
      <w:r>
        <w:t>Evolvierende Sicherheitsleitlinien minderten Beratungsvertrauen und verstärkten Vaccine Hesitancy. Fragmentierte Dienste (nicht in Schwangerenvorsorge integriert), schwache Dokumentation von Nebenwirkungen und Misinformation waren Kernprobleme. Strategien: frühe Schulung, Koordination über Berufsgruppen, gestärkte Logistik und Sicherheitsmeldung.</w:t>
      </w:r>
    </w:p>
    <w:p>
      <w:r>
        <w:rPr>
          <w:b/>
          <w:sz w:val="19"/>
        </w:rPr>
        <w:t xml:space="preserve">Übertragbarkeit: </w:t>
      </w:r>
      <w:r>
        <w:rPr>
          <w:sz w:val="19"/>
        </w:rPr>
        <w:t>Subsahara-Afrika, aber Befunde zu systemischer Fragmentierung relevant für Integrationsfragen.</w:t>
      </w:r>
    </w:p>
    <w:p>
      <w:r>
        <w:rPr>
          <w:color w:val="5A7D3A"/>
          <w:sz w:val="18"/>
        </w:rPr>
        <w:t>https://pubmed.ncbi.nlm.nih.gov/42624601/</w:t>
      </w:r>
    </w:p>
    <w:p>
      <w:pPr>
        <w:pStyle w:val="Heading1"/>
      </w:pPr>
      <w:r>
        <w:t>Aufgenommen am 24.08.2026</w:t>
      </w:r>
    </w:p>
    <w:p>
      <w:pPr>
        <w:pStyle w:val="Heading2"/>
      </w:pPr>
      <w:r>
        <w:t>Hochdosis-Grippeimpfstoff senkte Krankenhauseinweisungen bei Altenheimbewohnern um 31 Prozent</w:t>
      </w:r>
    </w:p>
    <w:p>
      <w:r>
        <w:rPr>
          <w:i/>
          <w:color w:val="666666"/>
          <w:sz w:val="18"/>
        </w:rPr>
        <w:t>Bricout H et al.  ·  Age Ageing  ·  03.08.2026  ·  PMID 42632918</w:t>
      </w:r>
    </w:p>
    <w:p>
      <w:r>
        <w:t>Französische Kohortenstudie verglich Wirksamkeit von Hochdosis- versus Standarddosis-Grippeimpfstoff gegen grippebedingte Krankenhauseinweisungen bei Bewohnern von Altenpflegeeinrichtungen (2022–2023).</w:t>
      </w:r>
    </w:p>
    <w:p>
      <w:r>
        <w:rPr>
          <w:b/>
        </w:rPr>
        <w:t xml:space="preserve">Ergebnis: </w:t>
      </w:r>
      <w:r>
        <w:t>Hochdosis-Impfstoff reduzierte grippebedingte Krankenhauseinweisungen um 30,8 % (95 % KI: 11,8–45,7 %; p = 0,0029), verglichen mit Standarddosis. Bei Pneumonie oder kombinierten Ergebnissen zeigte sich kein signifikanter Unterschied. Die Studie stützt bevorzugte Verwendung des Hochdosis-Impfstoffs in dieser Hochrisikogruppe.</w:t>
      </w:r>
    </w:p>
    <w:p>
      <w:r>
        <w:rPr>
          <w:b/>
          <w:sz w:val="19"/>
        </w:rPr>
        <w:t xml:space="preserve">Übertragbarkeit: </w:t>
      </w:r>
      <w:r>
        <w:rPr>
          <w:sz w:val="19"/>
        </w:rPr>
        <w:t>Frankreich mit vergleichbarem Sozialversicherungssystem und Langzeitpflege-Dokumentation wie Deutschland.</w:t>
      </w:r>
    </w:p>
    <w:p>
      <w:r>
        <w:rPr>
          <w:color w:val="5A7D3A"/>
          <w:sz w:val="18"/>
        </w:rPr>
        <w:t>https://pubmed.ncbi.nlm.nih.gov/42632918/</w:t>
      </w:r>
    </w:p>
    <w:p>
      <w:pPr>
        <w:pStyle w:val="Heading1"/>
      </w:pPr>
      <w:r>
        <w:t>Aufgenommen am 22.08.2026</w:t>
      </w:r>
    </w:p>
    <w:p>
      <w:pPr>
        <w:pStyle w:val="Heading2"/>
      </w:pPr>
      <w:r>
        <w:t>HPV-Impfung senkt Häufigkeit von Larynx- und Bindehautpapillomen in Dänemark</w:t>
      </w:r>
    </w:p>
    <w:p>
      <w:r>
        <w:rPr>
          <w:i/>
          <w:color w:val="666666"/>
          <w:sz w:val="18"/>
        </w:rPr>
        <w:t>Aakilde M et al.  ·  APMIS  ·  Aug. 2026  ·  PMID 42619272</w:t>
      </w:r>
    </w:p>
    <w:p>
      <w:r>
        <w:t>Register-Studie: 33 juvenile Larynx-, 134 Bindehautpapillom-Patienten 2005–2024 mit HPV-Subtypisierung und Impfstatus-Abfrage.</w:t>
      </w:r>
    </w:p>
    <w:p>
      <w:r>
        <w:rPr>
          <w:b/>
        </w:rPr>
        <w:t xml:space="preserve">Ergebnis: </w:t>
      </w:r>
      <w:r>
        <w:t>Larynxpapillom-Inzidenz sank von 0,190 pro 100.000 (2005–2013) auf 0,107 (2014–2024), nicht signifikant (p=0,145); keine Fälle bei geimpften Müttern. Bindehautpapillom-Inzidenz sank signifikant um 5,3 % pro Jahr (p=0,002). HPV-6/-11 in 74,1 % nachgewiesen. Studie zeigt Schutzeffekt des Impfprogramms auf Bindehautpapillome, juvenile Larynxpapillome bleiben selten und nur bei ungeimpften Müttern.</w:t>
      </w:r>
    </w:p>
    <w:p>
      <w:r>
        <w:rPr>
          <w:b/>
          <w:sz w:val="19"/>
        </w:rPr>
        <w:t xml:space="preserve">Übertragbarkeit: </w:t>
      </w:r>
      <w:r>
        <w:rPr>
          <w:sz w:val="19"/>
        </w:rPr>
        <w:t>Dänemark, nationales Register, vergleichbare nordeuropäische Impfpraxis</w:t>
      </w:r>
    </w:p>
    <w:p>
      <w:r>
        <w:rPr>
          <w:color w:val="5A7D3A"/>
          <w:sz w:val="18"/>
        </w:rPr>
        <w:t>https://pubmed.ncbi.nlm.nih.gov/42619272/</w:t>
      </w:r>
    </w:p>
    <w:p>
      <w:pPr>
        <w:pStyle w:val="Heading2"/>
      </w:pPr>
      <w:r>
        <w:t>Hepatitis-B-Impfquoten bei trans und nicht-binären Menschen in Deutschland: Wer bleibt ungeimpft?</w:t>
      </w:r>
    </w:p>
    <w:p>
      <w:r>
        <w:rPr>
          <w:i/>
          <w:color w:val="666666"/>
          <w:sz w:val="18"/>
        </w:rPr>
        <w:t>Biallas R et al.  ·  BMC Public Health  ·  11.08.2026  ·  PMID 42576212</w:t>
      </w:r>
    </w:p>
    <w:p>
      <w:r>
        <w:t>Online-Survey von 2.358 trans und nicht-binären Personen zu Hepatitis-B-Diagnosen und Impfstatus, RKI-Studie.</w:t>
      </w:r>
    </w:p>
    <w:p>
      <w:r>
        <w:rPr>
          <w:b/>
        </w:rPr>
        <w:t xml:space="preserve">Ergebnis: </w:t>
      </w:r>
      <w:r>
        <w:t>HBV-Prävalenz 0,6 %, Impfquote 56,3 %. Quote höher bei Personen auf dem männlichen Spektrum (PR 1,29) als weiblich/nicht-binär; höher mit Hochschulbildung (PR 1,44) und in Großstädten (PR 1,22). 550 (21,7 %) waren impfempfohlen; von 213 mit negativem Impfstatus waren 65 % unter 30 und hätten Routine-Impfung erhalten sollen. Wissenslücken zu Hepatitis als Hauptprädiktor für niedrige Quote identifiziert.</w:t>
      </w:r>
    </w:p>
    <w:p>
      <w:r>
        <w:rPr>
          <w:b/>
          <w:sz w:val="19"/>
        </w:rPr>
        <w:t xml:space="preserve">Übertragbarkeit: </w:t>
      </w:r>
      <w:r>
        <w:rPr>
          <w:sz w:val="19"/>
        </w:rPr>
        <w:t>RKI-Studie, deutsche Hochrisikopopulation; Ungleichheit nach Bildung, Geschlechtsidentität und Urbanisierung</w:t>
      </w:r>
    </w:p>
    <w:p>
      <w:r>
        <w:rPr>
          <w:color w:val="5A7D3A"/>
          <w:sz w:val="18"/>
        </w:rPr>
        <w:t>https://pubmed.ncbi.nlm.nih.gov/42576212/</w:t>
      </w:r>
    </w:p>
    <w:p>
      <w:pPr>
        <w:pStyle w:val="Heading1"/>
      </w:pPr>
      <w:r>
        <w:t>Aufgenommen am 21.08.2026</w:t>
      </w:r>
    </w:p>
    <w:p>
      <w:pPr>
        <w:pStyle w:val="Heading2"/>
      </w:pPr>
      <w:r>
        <w:t>MenACWY-Impfung und Meningokokken-Carriage bei Studierenden: Wirksamkeitsevidenz aus Carriage-Monitoring</w:t>
      </w:r>
    </w:p>
    <w:p>
      <w:r>
        <w:rPr>
          <w:i/>
          <w:color w:val="666666"/>
          <w:sz w:val="18"/>
        </w:rPr>
        <w:t>Harvey-Cowlishaw T et al.  ·  Front Public Health  ·  05.08.2026  ·  PMID 42621093</w:t>
      </w:r>
    </w:p>
    <w:p>
      <w:r>
        <w:t>Querschnittstudie (September + November 2024) an 400 Studierenden einer UK-Universität mit Keimkultur/PCR und Vollgenomsequenzierung von Meningokokken-Carriern.</w:t>
      </w:r>
    </w:p>
    <w:p>
      <w:r>
        <w:rPr>
          <w:b/>
        </w:rPr>
        <w:t xml:space="preserve">Ergebnis: </w:t>
      </w:r>
      <w:r>
        <w:t>Carriage-Rate Sepember 12,5 %, November 25,3 % (p&lt;0,05). Genogruppe C: null Isolate (100 % Reduktion durch MenACWY-Vakzinierung). Genogruppe Y: null verkappselte Isolate in dieser Kohorte, konsistent mit Impfeffektivität. Genogruppe B: 34,3 % (multipler Clonal Complex, teils hyperinvasiv). MenACWY schützt Studierende effektiv vor W/Y-Carriage; Genogruppe B bleibt Risiko.</w:t>
      </w:r>
    </w:p>
    <w:p>
      <w:r>
        <w:rPr>
          <w:b/>
          <w:sz w:val="19"/>
        </w:rPr>
        <w:t xml:space="preserve">Übertragbarkeit: </w:t>
      </w:r>
      <w:r>
        <w:rPr>
          <w:sz w:val="19"/>
        </w:rPr>
        <w:t>UK, Kariologie-Surveillance, vergleichbare adoleszente Impfprogramme</w:t>
      </w:r>
    </w:p>
    <w:p>
      <w:r>
        <w:rPr>
          <w:color w:val="5A7D3A"/>
          <w:sz w:val="18"/>
        </w:rPr>
        <w:t>https://pubmed.ncbi.nlm.nih.gov/42621093/</w:t>
      </w:r>
    </w:p>
    <w:p>
      <w:pPr>
        <w:pStyle w:val="Heading2"/>
      </w:pPr>
      <w:r>
        <w:t>Vorbuchte Impftermine für COVID-19: Burden-Vergleich und Wirkung auf Uptake-Intention</w:t>
      </w:r>
    </w:p>
    <w:p>
      <w:r>
        <w:rPr>
          <w:i/>
          <w:color w:val="666666"/>
          <w:sz w:val="18"/>
        </w:rPr>
        <w:t>Sanders JG et al.  ·  Vaccine  ·  30.08.2026  ·  PMID 42546637</w:t>
      </w:r>
    </w:p>
    <w:p>
      <w:r>
        <w:t>Formative Evaluationsstudie (Niederlande) in zwei Phasen – qualitativ (15 Interviews) und experimentell (n=1.886) – zur Wirkung von Vorbuchung vs. Selbstbuchung auf Impfintention.</w:t>
      </w:r>
    </w:p>
    <w:p>
      <w:r>
        <w:rPr>
          <w:b/>
        </w:rPr>
        <w:t xml:space="preserve">Ergebnis: </w:t>
      </w:r>
      <w:r>
        <w:t>Phase 1: Vorbuchung wurde als fürsorglich und auch als bevormundend wahrgenommen. Phase 2: Selbstbuchung wurde als weniger belastend wahrgenommen (β=−0,23, p&lt;0,05), führte aber nicht zu höherer Impfintention (aOR=1,11). Auch bei zögerlichen Personen kein Unterschied (aOR=0,88). Vorbuchung verändert COVID-19-Intention nicht – konservative Empfehlung: Selbstbuchung für bereits geimpfte Ältere.</w:t>
      </w:r>
    </w:p>
    <w:p>
      <w:r>
        <w:rPr>
          <w:b/>
          <w:sz w:val="19"/>
        </w:rPr>
        <w:t xml:space="preserve">Übertragbarkeit: </w:t>
      </w:r>
      <w:r>
        <w:rPr>
          <w:sz w:val="19"/>
        </w:rPr>
        <w:t>Niederlande (RIVM), vergleichbares Versicherungssystem und Impfinfrastruktur</w:t>
      </w:r>
    </w:p>
    <w:p>
      <w:r>
        <w:rPr>
          <w:color w:val="5A7D3A"/>
          <w:sz w:val="18"/>
        </w:rPr>
        <w:t>https://pubmed.ncbi.nlm.nih.gov/42546637/</w:t>
      </w:r>
    </w:p>
    <w:p>
      <w:pPr>
        <w:pStyle w:val="Heading1"/>
      </w:pPr>
      <w:r>
        <w:t>Aufgenommen am 20.08.2026</w:t>
      </w:r>
    </w:p>
    <w:p>
      <w:pPr>
        <w:pStyle w:val="Heading2"/>
      </w:pPr>
      <w:r>
        <w:t>Impfquoten in der Schwangerschaft in Deutschland 2004–2022: Was bleibt ungenutzt?</w:t>
      </w:r>
    </w:p>
    <w:p>
      <w:r>
        <w:rPr>
          <w:i/>
          <w:color w:val="666666"/>
          <w:sz w:val="18"/>
        </w:rPr>
        <w:t>Mulanje L et al.  ·  Sci Rep  ·  18.08.2026  ·  PMID 42613346</w:t>
      </w:r>
    </w:p>
    <w:p>
      <w:r>
        <w:t>Eine Analyse von über 2,8 Mio. Schwangerschaften in deutschen Krankenkassendaten zeigte, wie sich Impfquoten in der Schwangerschaft entwickelten.</w:t>
      </w:r>
    </w:p>
    <w:p>
      <w:r>
        <w:rPr>
          <w:b/>
        </w:rPr>
        <w:t xml:space="preserve">Ergebnis: </w:t>
      </w:r>
      <w:r>
        <w:t>Influenza-Impfquote bei Schwangeren stieg von 2 % (2004–2009) auf 19 % (2020–2022), Pertussis von 3 % (2015–2019) auf 37 % (2020–2022). Weniger als 50 % der empfohlenen Schwangerschaftsimpfungen wurden durchgeführt; Gründe bleiben unklar. Etwa 0,3 % erhielten kontraindizierte Lebendimpfstoffe.</w:t>
      </w:r>
    </w:p>
    <w:p>
      <w:r>
        <w:rPr>
          <w:b/>
          <w:sz w:val="19"/>
        </w:rPr>
        <w:t xml:space="preserve">Übertragbarkeit: </w:t>
      </w:r>
      <w:r>
        <w:rPr>
          <w:sz w:val="19"/>
        </w:rPr>
        <w:t>Deutsche Krankenkassendaten mit vollständiger Erfassung, direkt übertragbar auf deutsches Versorgungssystem.</w:t>
      </w:r>
    </w:p>
    <w:p>
      <w:r>
        <w:rPr>
          <w:color w:val="5A7D3A"/>
          <w:sz w:val="18"/>
        </w:rPr>
        <w:t>https://pubmed.ncbi.nlm.nih.gov/42613346/</w:t>
      </w:r>
    </w:p>
    <w:p>
      <w:pPr>
        <w:pStyle w:val="Heading2"/>
      </w:pPr>
      <w:r>
        <w:t>HPV-Impfung für Adoleszente: Verhaltenswissenschaftliche Entwicklung einer Intervention (15–17 Jahre)</w:t>
      </w:r>
    </w:p>
    <w:p>
      <w:r>
        <w:rPr>
          <w:i/>
          <w:color w:val="666666"/>
          <w:sz w:val="18"/>
        </w:rPr>
        <w:t>Flood T et al.  ·  PLoS One  ·  14.08.2026  ·  PMID 42599892</w:t>
      </w:r>
    </w:p>
    <w:p>
      <w:r>
        <w:t>Qualitative Studie mit fokussierten Interviews (Impfschwestern n=26, Schüler n=34, Lehrer/Schulnursen n=18) zur Entwicklung eines theoriegestützten HPV-Interventionsangebots.</w:t>
      </w:r>
    </w:p>
    <w:p>
      <w:r>
        <w:rPr>
          <w:b/>
        </w:rPr>
        <w:t xml:space="preserve">Ergebnis: </w:t>
      </w:r>
      <w:r>
        <w:t>Systematische Übersicht fand Mangel an Interventionen für diese Altersgruppe. Identifiziert wurden 12 Barrieren für drei Zielverhalten (Schülerentscheidung, Professionalisierung, öffentliche Akzeptanz). Entwickelte Intervention: schulgestützte HPV-Bildung mit Impfangebot, öffentliche Medienkampagne; Erfolg hängt von Unterstützung durch Behörden und Lehrplanintegration ab.</w:t>
      </w:r>
    </w:p>
    <w:p>
      <w:r>
        <w:rPr>
          <w:b/>
          <w:sz w:val="19"/>
        </w:rPr>
        <w:t xml:space="preserve">Übertragbarkeit: </w:t>
      </w:r>
      <w:r>
        <w:rPr>
          <w:sz w:val="19"/>
        </w:rPr>
        <w:t>Nordirland, ähnliche schulbasierte Impfstrukturen wie Deutschland, Barrier-Identifizierung übertragbar.</w:t>
      </w:r>
    </w:p>
    <w:p>
      <w:r>
        <w:rPr>
          <w:color w:val="5A7D3A"/>
          <w:sz w:val="18"/>
        </w:rPr>
        <w:t>https://pubmed.ncbi.nlm.nih.gov/42599892/</w:t>
      </w:r>
    </w:p>
    <w:p>
      <w:pPr>
        <w:pStyle w:val="Heading2"/>
      </w:pPr>
      <w:r>
        <w:t>COVID-19-Sterblichkeit bei Menschen mit schweren psychischen Erkrankungen: Übersterblichkeit trotz Impfung</w:t>
      </w:r>
    </w:p>
    <w:p>
      <w:r>
        <w:rPr>
          <w:i/>
          <w:color w:val="666666"/>
          <w:sz w:val="18"/>
        </w:rPr>
        <w:t>Chilman N et al.  ·  Lancet Psychiatry  ·  Sept. 2026  ·  PMID 42586081</w:t>
      </w:r>
    </w:p>
    <w:p>
      <w:r>
        <w:t>Gesamtbevölkerungsstudie in England (n=13.463.945 COVID-19-Fälle, davon 1,19 % mit schwerer psychischer Erkrankung) auf Mortalität über drei Pandemiephasen mit unterschiedlichem Impfzugang.</w:t>
      </w:r>
    </w:p>
    <w:p>
      <w:r>
        <w:rPr>
          <w:b/>
        </w:rPr>
        <w:t xml:space="preserve">Ergebnis: </w:t>
      </w:r>
      <w:r>
        <w:t>Übersterblichkeit bei schwerer psychischer Erkrankung: aHR 1,56 (95%-KI 1,53–1,59). In Phase 1 (vor Impfung): aHR 1,27; Phase 2 (Impfstart): aHR 1,56; Phase 3 (nach Impfung): aHR 1,55. Impfquoten initial höher (73,2 % vs. 67,4 %), am Ende aber niedriger (79,4 % vs. 87,2 %). Impfung minderte Risiko nur partiell (aHR 1,25, 95%-KI 1,17–1,34).</w:t>
      </w:r>
    </w:p>
    <w:p>
      <w:r>
        <w:rPr>
          <w:b/>
          <w:sz w:val="19"/>
        </w:rPr>
        <w:t xml:space="preserve">Übertragbarkeit: </w:t>
      </w:r>
      <w:r>
        <w:rPr>
          <w:sz w:val="19"/>
        </w:rPr>
        <w:t>England-Gesamtbevölkerung, nationales Gesundheitssystem wie Deutschland, Ungleichheitsfrage zentral.</w:t>
      </w:r>
    </w:p>
    <w:p>
      <w:r>
        <w:rPr>
          <w:color w:val="5A7D3A"/>
          <w:sz w:val="18"/>
        </w:rPr>
        <w:t>https://pubmed.ncbi.nlm.nih.gov/42586081/</w:t>
      </w:r>
    </w:p>
    <w:p>
      <w:pPr>
        <w:pStyle w:val="Heading1"/>
      </w:pPr>
      <w:r>
        <w:t>Aufgenommen am 19.08.2026</w:t>
      </w:r>
    </w:p>
    <w:p>
      <w:pPr>
        <w:pStyle w:val="Heading2"/>
      </w:pPr>
      <w:r>
        <w:t>Psychisches Wohlbefinden und COVID-19-Impfquote: 2,68-fach höherer Impfanteil bei hohem CASP-Wohlbefind</w:t>
      </w:r>
    </w:p>
    <w:p>
      <w:r>
        <w:rPr>
          <w:i/>
          <w:color w:val="666666"/>
          <w:sz w:val="18"/>
        </w:rPr>
        <w:t>Gao Y et al.  ·  Hum Vaccin Immunother  ·  18.08.2026  ·  PMID 42610257</w:t>
      </w:r>
    </w:p>
    <w:p>
      <w:r>
        <w:t>Prospektive Analyse von 29.597 europäischen Erwachsenen ≥50 Jahren (SHARE-Studie, 27 Länder + Israel) zur Assoziation zwischen psychischem Wohlbefinden (CASP-12-Skala) und COVID-19-Impfung, Infektion und Long COVID.</w:t>
      </w:r>
    </w:p>
    <w:p>
      <w:r>
        <w:rPr>
          <w:b/>
        </w:rPr>
        <w:t xml:space="preserve">Ergebnis: </w:t>
      </w:r>
      <w:r>
        <w:t>Personen mit höchster CASP-12-Punktzahl vs. niedrigster: OR für COVID-19-Impfung 2,68 (95%-KI 2,44–2,96). Reduktion von Long COVID um 23% (OR 0,77, 95%-KI 0,64–0,93). Kein signifikanter Effekt auf Infektionsrisiko (OR 0,87, 95%-KI 0,74–1,02). Höheres psychisches Wohlbefinden mit verbessertem Impfstatus und reduziertem Long-COVID-Risiko assoziiert.</w:t>
      </w:r>
    </w:p>
    <w:p>
      <w:r>
        <w:rPr>
          <w:b/>
          <w:sz w:val="19"/>
        </w:rPr>
        <w:t xml:space="preserve">Übertragbarkeit: </w:t>
      </w:r>
      <w:r>
        <w:rPr>
          <w:sz w:val="19"/>
        </w:rPr>
        <w:t>27 europäische Länder, generalisierbar auf deutschsprachigen Raum</w:t>
      </w:r>
    </w:p>
    <w:p>
      <w:r>
        <w:rPr>
          <w:color w:val="5A7D3A"/>
          <w:sz w:val="18"/>
        </w:rPr>
        <w:t>https://pubmed.ncbi.nlm.nih.gov/42610257/</w:t>
      </w:r>
    </w:p>
    <w:p>
      <w:pPr>
        <w:pStyle w:val="Heading2"/>
      </w:pPr>
      <w:r>
        <w:t>Pädiater-Wissenlücken zur RSV-Immunisierung: 55,9% mit durchschnittlichem bis niedrigem Nirsevimab-Wissen</w:t>
      </w:r>
    </w:p>
    <w:p>
      <w:r>
        <w:rPr>
          <w:i/>
          <w:color w:val="666666"/>
          <w:sz w:val="18"/>
        </w:rPr>
        <w:t>Di Chiara C et al.  ·  PLoS One  ·  17.08.2026  ·  PMID 42607062</w:t>
      </w:r>
    </w:p>
    <w:p>
      <w:r>
        <w:t>Befragung von 578 Pädiatern (Rücklaufquote 19,3%) in Spanien, Italien und Zypern/Griechenland zu Wissen, Einstellungen und Barrieren bezüglich neuer RSV-Impfstrategen.</w:t>
      </w:r>
    </w:p>
    <w:p>
      <w:r>
        <w:rPr>
          <w:b/>
        </w:rPr>
        <w:t xml:space="preserve">Ergebnis: </w:t>
      </w:r>
      <w:r>
        <w:t>50% Spanien, 40% Italien, 10% Zypern/Griechenland. Nur 245 Befragte (55,9%) berichteten durchschnittliches bis niedriges Nirsevimab-Wissen, 375 (86,0%) zeigten gleiches für Mutterimpfstoff (p=0,002). Trotz Wissenslücken: 311 (85,9%) bereit, Nirsevimab zu verabreichen, 319 (92,2%) unterstützten es für alle Neugeborenen. Barrieren (20,0% genannt): Unbekannt und logistische Herausforderungen. 165 (47,4%) bevorzugten die Mutterimpfung gegenüber Nirsevimab.</w:t>
      </w:r>
    </w:p>
    <w:p>
      <w:r>
        <w:rPr>
          <w:b/>
          <w:sz w:val="19"/>
        </w:rPr>
        <w:t xml:space="preserve">Übertragbarkeit: </w:t>
      </w:r>
      <w:r>
        <w:rPr>
          <w:sz w:val="19"/>
        </w:rPr>
        <w:t>Südeuropa, aber spanische Erfahrung mit Nirsevimab bereits verfügbar</w:t>
      </w:r>
    </w:p>
    <w:p>
      <w:r>
        <w:rPr>
          <w:color w:val="5A7D3A"/>
          <w:sz w:val="18"/>
        </w:rPr>
        <w:t>https://pubmed.ncbi.nlm.nih.gov/42607062/</w:t>
      </w:r>
    </w:p>
    <w:p>
      <w:pPr>
        <w:pStyle w:val="Heading2"/>
      </w:pPr>
      <w:r>
        <w:t>HPV-Impfung und Schwangerschaftsergebnisse: Registerstudie zeigt keine erhöhten Fehlgeburtsrisiken</w:t>
      </w:r>
    </w:p>
    <w:p>
      <w:r>
        <w:rPr>
          <w:i/>
          <w:color w:val="666666"/>
          <w:sz w:val="18"/>
        </w:rPr>
        <w:t>Koivisto T et al.  ·  Eur J Public Health  ·  04.08.2026  ·  PMID 42586610</w:t>
      </w:r>
    </w:p>
    <w:p>
      <w:r>
        <w:t>Register-Follow-up von 20.426 HPV-geimpften und 19.473 ungeimpften Frauen (Finland, Geburtskohorte 1990-1995) über 11 Jahre zu frühen Schwangerschaftskomplikationen.</w:t>
      </w:r>
    </w:p>
    <w:p>
      <w:r>
        <w:rPr>
          <w:b/>
        </w:rPr>
        <w:t xml:space="preserve">Ergebnis: </w:t>
      </w:r>
      <w:r>
        <w:t>Fehlgeburtsquote in der geimpften Gruppe 1,6% versus 5,3% in der ungeimpften Kontrollgruppe (p&lt;0,0001). Keine zeitliche Assoziation zwischen Impfung und Fehlgeburten. Eileiterschwangerschaften waren selten und vergleichbar (0,6–1,0%). Bei Frauen mit Vorgeschichte von Komplikationen hatten 55,6% der Geimpften mindestens eine Lebendgeburt versus 70,3% der Ungeimpften. Die Impfung war nicht mit erhöhtem Fehlgeburts- oder anderem Schwangerschaftsrisiko verbunden.</w:t>
      </w:r>
    </w:p>
    <w:p>
      <w:r>
        <w:rPr>
          <w:b/>
          <w:sz w:val="19"/>
        </w:rPr>
        <w:t xml:space="preserve">Übertragbarkeit: </w:t>
      </w:r>
      <w:r>
        <w:rPr>
          <w:sz w:val="19"/>
        </w:rPr>
        <w:t>Finnland, Register mit hoher Datenqualität</w:t>
      </w:r>
    </w:p>
    <w:p>
      <w:r>
        <w:rPr>
          <w:color w:val="5A7D3A"/>
          <w:sz w:val="18"/>
        </w:rPr>
        <w:t>https://pubmed.ncbi.nlm.nih.gov/42586610/</w:t>
      </w:r>
    </w:p>
    <w:p>
      <w:pPr>
        <w:pStyle w:val="Heading2"/>
      </w:pPr>
      <w:r>
        <w:t>Influenza-Impfeffektivität gegen Krankenhausaufnahmen: 46% Gesamtschutz in Nordirland 2024/25</w:t>
      </w:r>
    </w:p>
    <w:p>
      <w:r>
        <w:rPr>
          <w:i/>
          <w:color w:val="666666"/>
          <w:sz w:val="18"/>
        </w:rPr>
        <w:t>Bucholc M et al.  ·  Influenza Other Respir Viruses  ·  Aug. 2026  ·  PMID 42560010</w:t>
      </w:r>
    </w:p>
    <w:p>
      <w:r>
        <w:t>Test-Negativ-Design mit 2.024 influenzapositiven Fällen und 13.109 Kontrollen in 15.133 hospitalisierten Patienten zur Schätzung der Impfeffektivität gegen laborbestätigte Influenza.</w:t>
      </w:r>
    </w:p>
    <w:p>
      <w:r>
        <w:rPr>
          <w:b/>
        </w:rPr>
        <w:t xml:space="preserve">Ergebnis: </w:t>
      </w:r>
      <w:r>
        <w:t>Impfeffektivität gegen Influenza insgesamt 46,0% (95%-KI 39,7–51,8%), höher bei Kindern 2-17 Jahren (60,8%, 48,3–70,5%) als Erwachsenen 18-64 Jahren (40,5%, 24,9–53,2%) oder ≥65 Jahren (42,3%, 33,2–50,1%). Gegen Influenza-B: 76,4% (64,9–84,7%). Effektivität gegen A(H1) 44,3%, gegen A(H3) 49,9%. Die Wirksamkeit war höchsten 2-8 Wochen post-Impfung (51,9%) und nahm ab.</w:t>
      </w:r>
    </w:p>
    <w:p>
      <w:r>
        <w:rPr>
          <w:b/>
          <w:sz w:val="19"/>
        </w:rPr>
        <w:t xml:space="preserve">Übertragbarkeit: </w:t>
      </w:r>
      <w:r>
        <w:rPr>
          <w:sz w:val="19"/>
        </w:rPr>
        <w:t>UK-Daten, vergleichbar mit deutschem Gesundheitssystem</w:t>
      </w:r>
    </w:p>
    <w:p>
      <w:r>
        <w:rPr>
          <w:color w:val="5A7D3A"/>
          <w:sz w:val="18"/>
        </w:rPr>
        <w:t>https://pubmed.ncbi.nlm.nih.gov/42560010/</w:t>
      </w:r>
    </w:p>
    <w:p>
      <w:pPr>
        <w:pStyle w:val="Heading2"/>
      </w:pPr>
      <w:r>
        <w:t>Impfluecken bei Kindern in Deutschland: Sozioökonomische Unterschiede und Rolle des Versorgungstyps</w:t>
      </w:r>
    </w:p>
    <w:p>
      <w:r>
        <w:rPr>
          <w:i/>
          <w:color w:val="666666"/>
          <w:sz w:val="18"/>
        </w:rPr>
        <w:t>Nussbaum C et al.  ·  BMC Med  ·  04.08.2026  ·  PMID 42557557</w:t>
      </w:r>
    </w:p>
    <w:p>
      <w:r>
        <w:t>Analyse von 430.000 Kindern aus Versicherungsdaten 2016-2019 zur Erfassung von Impfquoten und sozioökonomischen Gradienten bei von STIKO empfohlenen Impfungen.</w:t>
      </w:r>
    </w:p>
    <w:p>
      <w:r>
        <w:rPr>
          <w:b/>
        </w:rPr>
        <w:t xml:space="preserve">Ergebnis: </w:t>
      </w:r>
      <w:r>
        <w:t>Etwa 80% der empfohlenen Impfserien waren vollständig und rechtzeitig durchgeführt. Ein kleiner, aber signifikanter sozioökonomischer Gradient zugunsten höherer Einkommen zeigte sich (Konzentrationsindex 0,024). Der Anbietertyp erklärt den größten Teil des Gradienten: Hausarztpraxen hatten niedrigere Abschlussquoten als Kinderarztpraxen. Reisezeit trug weniger bei.</w:t>
      </w:r>
    </w:p>
    <w:p>
      <w:r>
        <w:rPr>
          <w:b/>
          <w:sz w:val="19"/>
        </w:rPr>
        <w:t xml:space="preserve">Übertragbarkeit: </w:t>
      </w:r>
      <w:r>
        <w:rPr>
          <w:sz w:val="19"/>
        </w:rPr>
        <w:t>Deutsche Krankenkassendaten, vergleichbare Dokumentationspflichten</w:t>
      </w:r>
    </w:p>
    <w:p>
      <w:r>
        <w:rPr>
          <w:color w:val="5A7D3A"/>
          <w:sz w:val="18"/>
        </w:rPr>
        <w:t>https://pubmed.ncbi.nlm.nih.gov/42557557/</w:t>
      </w:r>
    </w:p>
    <w:p>
      <w:pPr>
        <w:pStyle w:val="Heading2"/>
      </w:pPr>
      <w:r>
        <w:t>Keuchhusten-Impfeffektivität im Säuglingsalter in den Niederlanden: 98,2% Schutz bei vollständiger Impfung</w:t>
      </w:r>
    </w:p>
    <w:p>
      <w:r>
        <w:rPr>
          <w:i/>
          <w:color w:val="666666"/>
          <w:sz w:val="18"/>
        </w:rPr>
        <w:t>van Meijeren DL et al.  ·  Vaccine  ·  13.08.2026  ·  PMID 42526173</w:t>
      </w:r>
    </w:p>
    <w:p>
      <w:r>
        <w:t>Fall-Kontroll-Studie mit 1.156 Fällen und 4.624 Kontrollen (laborbestätigt, 12-35 Monate, 2013-2024) zur Wirksamkeit der Grundimmunisierung gegen Pertussis.</w:t>
      </w:r>
    </w:p>
    <w:p>
      <w:r>
        <w:rPr>
          <w:b/>
        </w:rPr>
        <w:t xml:space="preserve">Ergebnis: </w:t>
      </w:r>
      <w:r>
        <w:t>Gesamteffektivität 98,2% (95%-KI 97,6–98,6) bei vollständiger Impfung, nach der Screening-Methode 96,4% (95%-KI 95,9–96,8). Von den Fällen waren 27% vollständig geimpft, von den Kontrollen 89%. Die Wirksamkeit nahm mit der Zeit seit der Impfung ab (p&lt;0,001), in der Programmphase mit dem älteren DT3aP-Impfstoff etwas stärker als danach.</w:t>
      </w:r>
    </w:p>
    <w:p>
      <w:r>
        <w:rPr>
          <w:b/>
          <w:sz w:val="19"/>
        </w:rPr>
        <w:t xml:space="preserve">Übertragbarkeit: </w:t>
      </w:r>
      <w:r>
        <w:rPr>
          <w:sz w:val="19"/>
        </w:rPr>
        <w:t>Niederlande, vergleichbares Versicherungssystem und Vakzine</w:t>
      </w:r>
    </w:p>
    <w:p>
      <w:r>
        <w:rPr>
          <w:color w:val="5A7D3A"/>
          <w:sz w:val="18"/>
        </w:rPr>
        <w:t>https://pubmed.ncbi.nlm.nih.gov/42526173/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Impfen und Praevention</dc:title>
  <dc:subject/>
  <dc:creator>Monitor Versorgungsforschung</dc:creator>
  <cp:keywords/>
  <dc:description>generated by python-docx</dc:description>
  <cp:lastModifiedBy/>
  <cp:revision>1</cp:revision>
  <dcterms:created xsi:type="dcterms:W3CDTF">2026-10-17T06:00:00Z</dcterms:created>
  <dcterms:modified xsi:type="dcterms:W3CDTF">2026-10-17T06:00:00Z</dcterms:modified>
  <cp:category/>
</cp:coreProperties>
</file>