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Impfen und Impfpraevention</w:t>
      </w:r>
    </w:p>
    <w:p>
      <w:r>
        <w:rPr>
          <w:i/>
          <w:color w:val="666666"/>
          <w:sz w:val="18"/>
        </w:rPr>
        <w:t>Stand: 23.09.2026  |  7 Studien  |  impfen.m-vf.de</w:t>
      </w:r>
    </w:p>
    <w:p>
      <w:pPr>
        <w:pStyle w:val="Heading1"/>
      </w:pPr>
      <w:r>
        <w:t>Aufgenommen am 23.09.2026</w:t>
      </w:r>
    </w:p>
    <w:p>
      <w:pPr>
        <w:pStyle w:val="Heading2"/>
      </w:pPr>
      <w:r>
        <w:t>Impfkettenmanagement in koreanischen Gesundheitseinrichtungen: Defizite bei Temperaturüberwachung und Notstrom</w:t>
      </w:r>
    </w:p>
    <w:p>
      <w:r>
        <w:rPr>
          <w:i/>
          <w:color w:val="666666"/>
          <w:sz w:val="18"/>
        </w:rPr>
        <w:t>Kang CR et al.  ·  J Korean Med Sci  ·  21.09.2026  ·  PMID 42773072</w:t>
      </w:r>
    </w:p>
    <w:p>
      <w:r>
        <w:t>Nationale Querschnittserhebung zur Evaluierung der Impfkühllager-Praktiken in 53 südkoreanischen Immunisierungsanbietern (43 private Einrichtungen, 10 öffentliche Gesundheitszentren).</w:t>
      </w:r>
    </w:p>
    <w:p>
      <w:r>
        <w:rPr>
          <w:b/>
        </w:rPr>
        <w:t xml:space="preserve">Ergebnis: </w:t>
      </w:r>
      <w:r>
        <w:t>Alle Einrichtungen hatten dedizierte Impfkühlschränke (100 %), aber nur 73,6 % kontinuierliche Temperaturüberwachung auf allen Geräten; Alarmsysteme in 83,0 %; Notfallpläne in 52,8 %, regelmäßig getestet nur 40,9 %. Dokumentation und Entsorgung erfolgten regelkonform, aber Infrastruktur-Sicherheit ist lückenhaft.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Südkorea, vergleichbare Infrastruktur-Herausforderungen, nicht direktes Deutschland-Modell</w:t>
      </w:r>
    </w:p>
    <w:p>
      <w:r>
        <w:rPr>
          <w:color w:val="5A7D3A"/>
          <w:sz w:val="18"/>
        </w:rPr>
        <w:t>https://pubmed.ncbi.nlm.nih.gov/42773072/</w:t>
      </w:r>
    </w:p>
    <w:p>
      <w:pPr>
        <w:pStyle w:val="Heading2"/>
      </w:pPr>
      <w:r>
        <w:t>COVID-19-Impfeffektivität: Test-negativ vs. Kohortenstudien liefern vergleichbare Ergebnisse</w:t>
      </w:r>
    </w:p>
    <w:p>
      <w:r>
        <w:rPr>
          <w:i/>
          <w:color w:val="666666"/>
          <w:sz w:val="18"/>
        </w:rPr>
        <w:t>Sukik L et al.  ·  Int J Epidemiol  ·  18.08.2026  ·  PMID 42772774</w:t>
      </w:r>
    </w:p>
    <w:p>
      <w:r>
        <w:t>Direkter Methodenvergleich: Test-negativ-Fall-Kontroll- vs. retrospektive Kohortenstudien zur COVID-19-Impfeffektivität in Katar mit identischer Population und Datenquelle.</w:t>
      </w:r>
    </w:p>
    <w:p>
      <w:r>
        <w:rPr>
          <w:b/>
        </w:rPr>
        <w:t xml:space="preserve">Ergebnis: </w:t>
      </w:r>
      <w:r>
        <w:t>BNT162b2-Effektivität gegen Infektion im Test-negativ-Design 71,0 % vs. Kohorten-Design 78,0 % (nach Korrektur für Testrate); gegen schwere COVID-19 96,3 % vs. 98,0 %. Beide Designs zeigten ähnliche Wirksamkeitsverluste. Methodische Unterschiede sind kleiner als erwartet.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Katar (nicht Deutschland), aber Methodenvergleich für alle Impfstoff-Studien übertragbar</w:t>
      </w:r>
    </w:p>
    <w:p>
      <w:r>
        <w:rPr>
          <w:color w:val="5A7D3A"/>
          <w:sz w:val="18"/>
        </w:rPr>
        <w:t>https://pubmed.ncbi.nlm.nih.gov/42772774/</w:t>
      </w:r>
    </w:p>
    <w:p>
      <w:pPr>
        <w:pStyle w:val="Heading2"/>
      </w:pPr>
      <w:r>
        <w:t>WHO-Einfachdosis-Empfehlung für HPV-Impfung erhöhte Ländereinführungen um 22 weitere Länder</w:t>
      </w:r>
    </w:p>
    <w:p>
      <w:r>
        <w:rPr>
          <w:i/>
          <w:color w:val="666666"/>
          <w:sz w:val="18"/>
        </w:rPr>
        <w:t>Suh J et al.  ·  Expert Rev Vaccines  ·  22.09.2026  ·  PMID 42770688</w:t>
      </w:r>
    </w:p>
    <w:p>
      <w:r>
        <w:t>Analyse von Einflussfaktoren auf nationale HPV-Impfstoff-Einführungsraten in Ländern mit niedrigem und mittlerem Einkommen 2006–2025 mittels GLM und Changepoint-Analyse.</w:t>
      </w:r>
    </w:p>
    <w:p>
      <w:r>
        <w:rPr>
          <w:b/>
        </w:rPr>
        <w:t xml:space="preserve">Ergebnis: </w:t>
      </w:r>
      <w:r>
        <w:t>WHO-Einfachdosis-Empfehlung 2022 war der stärkste assoziierte Faktor; Gavi-Finanzierungserweiterung (2017–2025) auch bedeutsam. Modellprognosen: 22,46 zusätzliche nationale HPV-Impfstoff-Einführungen in LMIC allein durch die Einfachdosis-Empfehlung. Signifikanter Anstieg 2022.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Globale Politikanalyse, zeigt Hebel für Impfprogramme weltweit, nicht Deutschland-spezifisch</w:t>
      </w:r>
    </w:p>
    <w:p>
      <w:r>
        <w:rPr>
          <w:color w:val="5A7D3A"/>
          <w:sz w:val="18"/>
        </w:rPr>
        <w:t>https://pubmed.ncbi.nlm.nih.gov/42770688/</w:t>
      </w:r>
    </w:p>
    <w:p>
      <w:pPr>
        <w:pStyle w:val="Heading2"/>
      </w:pPr>
      <w:r>
        <w:t>Impfablehnung in der Türkei: Eltern und Gesundheitspersonal berichten von Vertrauenskrise</w:t>
      </w:r>
    </w:p>
    <w:p>
      <w:r>
        <w:rPr>
          <w:i/>
          <w:color w:val="666666"/>
          <w:sz w:val="18"/>
        </w:rPr>
        <w:t>Sezer E et al.  ·  Front Public Health  ·  07.09.2026  ·  PMID 42769268</w:t>
      </w:r>
    </w:p>
    <w:p>
      <w:r>
        <w:t>Qualitative Studie mit 19 impfablehnenden Eltern und 21 Fachpersonen (Ärzte, Hebammen) zur Erkundung von Gründen und strukturellen Barrieren für Impfverweigerung in der Türkei 2017.</w:t>
      </w:r>
    </w:p>
    <w:p>
      <w:r>
        <w:rPr>
          <w:b/>
        </w:rPr>
        <w:t xml:space="preserve">Ergebnis: </w:t>
      </w:r>
      <w:r>
        <w:t>Vier zentrale ethische Spannungsfelder: (1) Lücke zwischen informierter Ablehnung und uninformierter Wahl durch Informationsasymmetrie; (2) Vertrauenskrise in Gesundheitsinstitutionen durch leistungsbasierte Bezahlung von Ärzten; (3) Konflikt zwischen religiöser und medizinischer Autorität; (4) angefochtene elterliche Autonomie in patriarchalen Strukturen. Leistungsbezahlte Ärzte dokumentieren lieber, als dass sie Gespräche führen.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Türkei (LMIC), strukturelle Probleme aber in allen Systemen mit Leistungsvergütung relevant</w:t>
      </w:r>
    </w:p>
    <w:p>
      <w:r>
        <w:rPr>
          <w:color w:val="5A7D3A"/>
          <w:sz w:val="18"/>
        </w:rPr>
        <w:t>https://pubmed.ncbi.nlm.nih.gov/42769268/</w:t>
      </w:r>
    </w:p>
    <w:p>
      <w:pPr>
        <w:pStyle w:val="Heading2"/>
      </w:pPr>
      <w:r>
        <w:t>Adenovirus-Serotyp-Wechsel steigerte Ebola-Impfstoff-Immunantwort in Mäusen</w:t>
      </w:r>
    </w:p>
    <w:p>
      <w:r>
        <w:rPr>
          <w:i/>
          <w:color w:val="666666"/>
          <w:sz w:val="18"/>
        </w:rPr>
        <w:t>Wiggins J et al.  ·  J Med Virol  ·  Sept. 2026  ·  PMID 42765626</w:t>
      </w:r>
    </w:p>
    <w:p>
      <w:r>
        <w:t>Vergleichende Laborstu die mit verschiedenen Adenovirus-Vektoren und Immunisierungsrouten zur Optimierung der Ebolavirus-Glykoproteinin-Immunogenität.</w:t>
      </w:r>
    </w:p>
    <w:p>
      <w:r>
        <w:rPr>
          <w:b/>
        </w:rPr>
        <w:t xml:space="preserve">Ergebnis: </w:t>
      </w:r>
      <w:r>
        <w:t>Species-C-Vektoren (Ad5, Ad6) zeigten starke Antikörperreaktionen und schnelle Klassenumwandlung zu IgG im Vergleich zu Species B und D. Serotyp-Wechsel-Schemata erhöhten Antikörperniveaus und erzeugte robuste T-Zell-Reaktionen bei intramuskulärer Gabe. Intranasale Gabe induzierte nachweisbares IgA, aber keine messbaren T-Zell-Antworten – routenabhängige Immunkompartimentalisierung.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Präklinische Mausstudien, Impfstoff-Entwicklungsphase, keine direkten Versorgungsdaten</w:t>
      </w:r>
    </w:p>
    <w:p>
      <w:r>
        <w:rPr>
          <w:color w:val="5A7D3A"/>
          <w:sz w:val="18"/>
        </w:rPr>
        <w:t>https://pubmed.ncbi.nlm.nih.gov/42765626/</w:t>
      </w:r>
    </w:p>
    <w:p>
      <w:pPr>
        <w:pStyle w:val="Heading2"/>
      </w:pPr>
      <w:r>
        <w:t>MMR-Impf-Anaphylaxie durch Schweineglatine: Fallbericht und praktische Empfehlungen</w:t>
      </w:r>
    </w:p>
    <w:p>
      <w:r>
        <w:rPr>
          <w:i/>
          <w:color w:val="666666"/>
          <w:sz w:val="18"/>
        </w:rPr>
        <w:t>Iordachescu M et al.  ·  Rev Med Liege  ·  Sept. 2026  ·  PMID 42751843</w:t>
      </w:r>
    </w:p>
    <w:p>
      <w:r>
        <w:t>Zwei pädiatrische Fallberichte von Anaphylaxie nach M-M-RVaxPro®-Impfung, zugeordnet der Schweineglatine (14,5 mg/Dosis) als Stabilisator.</w:t>
      </w:r>
    </w:p>
    <w:p>
      <w:r>
        <w:rPr>
          <w:b/>
        </w:rPr>
        <w:t xml:space="preserve">Ergebnis: </w:t>
      </w:r>
      <w:r>
        <w:t>Beide Patienten entwickelten schwere Reaktionen nach Auffrischung mit positiven Haut- und Bluttests für Gelatin; Allergien gegen Neomycin, Latex und Chlorhexidin ausgeschlossen. Empfehlungen: Vermeidung gelatinehaltiger Impfstoffe, Substitution mit gelatinefreien Alternativen (Priorix®), orale Herausforderungsprobe für Lebensmitteltoleranz, Epinephrin-Notfallset, Spitalüberwachung bei Mastzellstörungen.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Belgien, europäische Fallberichte, Sicherheitserkenntnis für alle Mastzell-Erkrankungen</w:t>
      </w:r>
    </w:p>
    <w:p>
      <w:r>
        <w:rPr>
          <w:color w:val="5A7D3A"/>
          <w:sz w:val="18"/>
        </w:rPr>
        <w:t>https://pubmed.ncbi.nlm.nih.gov/42751843/</w:t>
      </w:r>
    </w:p>
    <w:p>
      <w:pPr>
        <w:pStyle w:val="Heading2"/>
      </w:pPr>
      <w:r>
        <w:t>RSV-Impfstoff verhinderte 70 % der Hospitalisierungen bei Erwachsenen</w:t>
      </w:r>
    </w:p>
    <w:p>
      <w:r>
        <w:rPr>
          <w:i/>
          <w:color w:val="666666"/>
          <w:sz w:val="18"/>
        </w:rPr>
        <w:t>Lassen MCH et al.  ·  NEJM Evid  ·  29.08.2026  ·  PMID 42666095</w:t>
      </w:r>
    </w:p>
    <w:p>
      <w:r>
        <w:t>Pragmatische randomisierte Studie zum Schutz der bivalenten RSV-Präfusion-F-Impfung vor RSV-Hospitalisierung in Dänemark und Spanien.</w:t>
      </w:r>
    </w:p>
    <w:p>
      <w:r>
        <w:rPr>
          <w:b/>
        </w:rPr>
        <w:t xml:space="preserve">Ergebnis: </w:t>
      </w:r>
      <w:r>
        <w:t>Von 513.358 randomisierten Teilnehmern lag die Impfeffektivität gegen RSV-Atemwegserkrankungen-Hospitalisierung bei 70,3 % (95 %-KI 49,7–83,2), gegen untere Atemwege bei 71,1 % (45,4–85,7). Schwere Nebenwirkungen traten in 2,0 % der Impfgruppe vs. 2,2 % der Kontrollgruppe auf – ein wirksamer und sicherer Impfstoff unter Alltagsbedingungen.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Dänemark/Spanien, nationale Versicherungsdaten und Routineüberwachung, nicht USA-abhängig</w:t>
      </w:r>
    </w:p>
    <w:p>
      <w:r>
        <w:rPr>
          <w:color w:val="5A7D3A"/>
          <w:sz w:val="18"/>
        </w:rPr>
        <w:t>https://pubmed.ncbi.nlm.nih.gov/42666095/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Impfen und Impfpraevention</dc:title>
  <dc:subject/>
  <dc:creator>Monitor Versorgungsforschung</dc:creator>
  <cp:keywords/>
  <dc:description>generated by python-docx</dc:description>
  <cp:lastModifiedBy/>
  <cp:revision>1</cp:revision>
  <dcterms:created xsi:type="dcterms:W3CDTF">2026-09-23T06:00:00Z</dcterms:created>
  <dcterms:modified xsi:type="dcterms:W3CDTF">2026-09-23T06:00:00Z</dcterms:modified>
  <cp:category/>
</cp:coreProperties>
</file>