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21.09.2026  |  6 Studien  |  impfen.m-vf.de</w:t>
      </w:r>
    </w:p>
    <w:p>
      <w:pPr>
        <w:pStyle w:val="Heading1"/>
      </w:pPr>
      <w:r>
        <w:t>Aufgenommen am 21.09.2026</w:t>
      </w:r>
    </w:p>
    <w:p>
      <w:pPr>
        <w:pStyle w:val="Heading2"/>
      </w:pPr>
      <w:r>
        <w:t>Impfstoffsicherheit: Meningokokken-B und Routineimpfungen bei Säuglingen</w:t>
      </w:r>
    </w:p>
    <w:p>
      <w:r>
        <w:rPr>
          <w:i/>
          <w:color w:val="666666"/>
          <w:sz w:val="18"/>
        </w:rPr>
        <w:t>Nguyen T et al.  ·  Med J Aust  ·  Sept. 2026  ·  PMID 42764145</w:t>
      </w:r>
    </w:p>
    <w:p>
      <w:r>
        <w:t>Die Studie vergleicht Sicherheit und Reaktionen bei gleichzeitiger oder separater Verabreichung von Meningokokken-B-Impfstoff mit anderen Säuglingsimpfungen an 2-, 4-, 6- und 12 Monaten.</w:t>
      </w:r>
    </w:p>
    <w:p>
      <w:r>
        <w:rPr>
          <w:b/>
        </w:rPr>
        <w:t xml:space="preserve">Ergebnis: </w:t>
      </w:r>
      <w:r>
        <w:t>Bei 10.959 Säuglingen war die kumulative Rate unerwünschter Ereignisse nach gleichzeitiger Gabe bei 2 Monaten niedriger (29 % vs. 35 %, Risikodifferenz −6,7 %), bei 4, 6 und 12 Monaten vergleichbar. Ärztliche Konsultationen waren bei 12 Monaten unter gleichzeitiger Gabe seltener (4,1 % vs. 6,3 %). Separate Verabreichung reduziert nicht, kann aber die Reaktionslast erhöhen.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vergleichbare Surveillance-Methodik über Online-Befragung anwendbar</w:t>
      </w:r>
    </w:p>
    <w:p>
      <w:r>
        <w:rPr>
          <w:color w:val="5A7D3A"/>
          <w:sz w:val="18"/>
        </w:rPr>
        <w:t>https://pubmed.ncbi.nlm.nih.gov/42764145/</w:t>
      </w:r>
    </w:p>
    <w:p>
      <w:pPr>
        <w:pStyle w:val="Heading2"/>
      </w:pPr>
      <w:r>
        <w:t>SARS-CoV-2 Langzeitschutz: MVA-Impfung erreicht mRNA-Niveau</w:t>
      </w:r>
    </w:p>
    <w:p>
      <w:r>
        <w:rPr>
          <w:i/>
          <w:color w:val="666666"/>
          <w:sz w:val="18"/>
        </w:rPr>
        <w:t>Pérez P et al.  ·  Front Immunol  ·  31.08.2026  ·  PMID 42741364</w:t>
      </w:r>
    </w:p>
    <w:p>
      <w:r>
        <w:t>Studie vergleicht Langzeitimmunität und Schutzwirkung nach homologer oder heterologer mRNA- und MVA-Impfung gegen XBB.1.5 in K18-hACE2-Mäusen über 9 Monate.</w:t>
      </w:r>
    </w:p>
    <w:p>
      <w:r>
        <w:rPr>
          <w:b/>
        </w:rPr>
        <w:t xml:space="preserve">Ergebnis: </w:t>
      </w:r>
      <w:r>
        <w:t>Alle Zwei-Dosen-Regimen reduzierten viral RNA und infektiöse Viruslast in oberen und unteren Atemwegen nach Challenge markant und vergleichbar. Bindungs-IgG blieb über 9 Monate hoch, neutralisierende Antikörper nahmen ab. mRNA/MVA-Heterologer Regimen zeigte Trend zu besserer CD8+-T-Zell-Persistenz. MVA als thermostabiler und kostengünstiger Kandidat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Experimentell in Mäusen; Strategie für globale thermostabile Impfstoffversorgung relevant</w:t>
      </w:r>
    </w:p>
    <w:p>
      <w:r>
        <w:rPr>
          <w:color w:val="5A7D3A"/>
          <w:sz w:val="18"/>
        </w:rPr>
        <w:t>https://pubmed.ncbi.nlm.nih.gov/42741364/</w:t>
      </w:r>
    </w:p>
    <w:p>
      <w:pPr>
        <w:pStyle w:val="Heading2"/>
      </w:pPr>
      <w:r>
        <w:t>Digitale Impfdienste in Impfzentren: Strategien zur Effizienzsteigerung</w:t>
      </w:r>
    </w:p>
    <w:p>
      <w:r>
        <w:rPr>
          <w:i/>
          <w:color w:val="666666"/>
          <w:sz w:val="18"/>
        </w:rPr>
        <w:t>Song YF et al.  ·  Zhonghua Yu Fang Yi Xue Za Zhi  ·  06.09.2026  ·  PMID 42736157</w:t>
      </w:r>
    </w:p>
    <w:p>
      <w:r>
        <w:t>Chinesische Systemanalyse zu Strategien und Praktiken für digitale Services in Impfzentren, um Versorgungsqualität und Effizienz zu verbessern.</w:t>
      </w:r>
    </w:p>
    <w:p>
      <w:r>
        <w:rPr>
          <w:b/>
        </w:rPr>
        <w:t xml:space="preserve">Ergebnis: </w:t>
      </w:r>
      <w:r>
        <w:t>Artikel definiert digitale Impfdienste systematisch als Antwort auf steigende Impfstoffvielfalt, höhere Bevölkerungsmobilität und diversifizierte Impfbedarfe. Hauptkomponenten sind digitale Verwaltung, Planung und Patientenmanagement. Implementierungsempfehlungen zielen auf Verbesserung von Verwaltungseffizienz und Servicequalität.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Systemansatz übertragbar auf Optimierung der Impflogistik in Gesundheitssystemen</w:t>
      </w:r>
    </w:p>
    <w:p>
      <w:r>
        <w:rPr>
          <w:color w:val="5A7D3A"/>
          <w:sz w:val="18"/>
        </w:rPr>
        <w:t>https://pubmed.ncbi.nlm.nih.gov/42736157/</w:t>
      </w:r>
    </w:p>
    <w:p>
      <w:pPr>
        <w:pStyle w:val="Heading2"/>
      </w:pPr>
      <w:r>
        <w:t>Dengue- und Chikungunya-Impfstoffe: Verfügbarkeit und Versorgungslücken</w:t>
      </w:r>
    </w:p>
    <w:p>
      <w:r>
        <w:rPr>
          <w:i/>
          <w:color w:val="666666"/>
          <w:sz w:val="18"/>
        </w:rPr>
        <w:t>Tee KK et al.  ·  Hum Vaccin Immunother  ·  10.09.2026  ·  PMID 42720969</w:t>
      </w:r>
    </w:p>
    <w:p>
      <w:r>
        <w:t>Analyse der Lücke zwischen Impfstoffverfügbarkeit nach regulativer Zulassung und tatsächlicher Aufnahme in nationale Impfprogramme in Ländern mit Übertragungsrisiko.</w:t>
      </w:r>
    </w:p>
    <w:p>
      <w:r>
        <w:rPr>
          <w:b/>
        </w:rPr>
        <w:t xml:space="preserve">Ergebnis: </w:t>
      </w:r>
      <w:r>
        <w:t>Dengue- und Chikungunya-Impfstoffe sind verfügbar, aber ihre Aufnahme in nationale Programme in vielen Hochrisiko-Ländern bleibt begrenzt oder ungleich verteilt. Die zentrale Herausforderung liegt nicht nur in der Verfügbarkeit, sondern in einem mehrschichtigen Zugangsdefizit: initiale Verfügbarkeit, anhaltende Bereitstellung und Anpassung an Übertragungsrisiko.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Perspektive; übertragbar auf Systemfähigkeit und Priorisierung in Gesundheitssystemen</w:t>
      </w:r>
    </w:p>
    <w:p>
      <w:r>
        <w:rPr>
          <w:color w:val="5A7D3A"/>
          <w:sz w:val="18"/>
        </w:rPr>
        <w:t>https://pubmed.ncbi.nlm.nih.gov/42720969/</w:t>
      </w:r>
    </w:p>
    <w:p>
      <w:pPr>
        <w:pStyle w:val="Heading2"/>
      </w:pPr>
      <w:r>
        <w:t>Impfstoff-Notfallreserven: Globales System entwickelt sich weiter</w:t>
      </w:r>
    </w:p>
    <w:p>
      <w:r>
        <w:rPr>
          <w:i/>
          <w:color w:val="666666"/>
          <w:sz w:val="18"/>
        </w:rPr>
        <w:t>Walldorf JA et al.  ·  Expert Rev Vaccines  ·  10.09.2026  ·  PMID 42717903</w:t>
      </w:r>
    </w:p>
    <w:p>
      <w:r>
        <w:t>Übersicht über die Entwicklung globaler Impfstoff-Stockpile-Strategien von 2014–2025 für Cholera, Gelbfieber, Polio, Meningokokken, COVID-19, Ebola und Mpox.</w:t>
      </w:r>
    </w:p>
    <w:p>
      <w:r>
        <w:rPr>
          <w:b/>
        </w:rPr>
        <w:t xml:space="preserve">Ergebnis: </w:t>
      </w:r>
      <w:r>
        <w:t>Globale Stockpile wurden für mehrere Impfstoffe etabliert. Die Strategie hat sich von reaktiv zu integriert entwickelt und verbindet Notfallreaktion mit Präventionsstrategie. Beschleunigte Impfstoffentwicklung erfordert effiziente und transparente Stockpile-Verwaltung für gerechte, bedarfsgerechte Verteilung.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Governance und Versorgungslogistik; System betrifft Deutschland als Teilnehmer globaler Netzwerke</w:t>
      </w:r>
    </w:p>
    <w:p>
      <w:r>
        <w:rPr>
          <w:color w:val="5A7D3A"/>
          <w:sz w:val="18"/>
        </w:rPr>
        <w:t>https://pubmed.ncbi.nlm.nih.gov/42717903/</w:t>
      </w:r>
    </w:p>
    <w:p>
      <w:pPr>
        <w:pStyle w:val="Heading2"/>
      </w:pPr>
      <w:r>
        <w:t>BNT162b2-mRNA-Impfung: Plasmazytoide dendritische Zellen lenken Immunantwort</w:t>
      </w:r>
    </w:p>
    <w:p>
      <w:r>
        <w:rPr>
          <w:i/>
          <w:color w:val="666666"/>
          <w:sz w:val="18"/>
        </w:rPr>
        <w:t>Pizzichetti C et al.  ·  EBioMedicine  ·  21.08.2026  ·  PMID 42628376</w:t>
      </w:r>
    </w:p>
    <w:p>
      <w:r>
        <w:t>Vorklinische Mausstudie zur Rolle plasmatischer dendritischer Zellen (pDCs) bei humoralen und CD8+-T-Zell-Gedächtnisantworten nach BNT162b2-Impfung.</w:t>
      </w:r>
    </w:p>
    <w:p>
      <w:r>
        <w:rPr>
          <w:b/>
        </w:rPr>
        <w:t xml:space="preserve">Ergebnis: </w:t>
      </w:r>
      <w:r>
        <w:t>BNT162b2 wurde schnell zu drainierenden Lymphknoten transportiert, wo es hauptsächlich von Leukozyten aufgenommen wurde, die daraufhin Spike-Protein exprimierten. pDCs zeigten sich als Regulatoren entzündlicher und humoraler Immunantworten. Single-Cell-Transkriptomik offenbarte aktive Interaktionen zwischen pDCs und CD8+-T-Zellen; funktionelle Studien bestätigten, dass pDCs CD8+-T-Zell-Aktivierung und -Expansion fördern.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Vorklinisch; Mechanismusverständnis der mRNA-Impfstoffwirksamkeit</w:t>
      </w:r>
    </w:p>
    <w:p>
      <w:r>
        <w:rPr>
          <w:color w:val="5A7D3A"/>
          <w:sz w:val="18"/>
        </w:rPr>
        <w:t>https://pubmed.ncbi.nlm.nih.gov/42628376/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2026-09-21T06:00:00Z</dcterms:created>
  <dcterms:modified xsi:type="dcterms:W3CDTF">2026-09-21T06:00:00Z</dcterms:modified>
  <cp:category/>
</cp:coreProperties>
</file>