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22.10.2026  |  6 Studien  |  impfen.m-vf.de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COVID-19-Impfquote bei schwangeren und stillenden Frauen in Uganda deutlich unter Erwartung</w:t>
      </w:r>
    </w:p>
    <w:p>
      <w:r>
        <w:rPr>
          <w:i/>
          <w:color w:val="666666"/>
          <w:sz w:val="18"/>
        </w:rPr>
        <w:t>Katana EB et al.  ·  BMC Pregnancy Childbirth  ·  25.07.2026  ·  PMID 42902272</w:t>
      </w:r>
    </w:p>
    <w:p>
      <w:r>
        <w:t>Querschnittsstudie an 424 schwangeren und stillenden Frauen in Uganda zur Akzeptanz und Inanspruchnahme von COVID-19-Impfungen im Vergleich zu anderen Mütterimpfungen.</w:t>
      </w:r>
    </w:p>
    <w:p>
      <w:r>
        <w:rPr>
          <w:b/>
        </w:rPr>
        <w:t xml:space="preserve">Ergebnis: </w:t>
      </w:r>
      <w:r>
        <w:t>51,6% hatten mind. eine COVID-19-Impfdosis erhalten, 94,1% waren gegen Tetanus geimpft; 48,4% waren bereit, COVID-19-Impfungen zu erhalten. Nur 2,4% waren während Stillzeit geimpft worden, keine während Schwangerschaft. Schutzfaktoren: COVID-19-Test in der Vorgeschichte (aRR=1,92, 95%-KI 1,46–2,54) und geimpftes Haushaltsmitglied (aRR=1,34, 95%-KI 1,03–1,84).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Uganda-Daten; transferierbar für Länder mit ähnlicher Gesundheitskommunikation und Ressourcenlage.</w:t>
      </w:r>
    </w:p>
    <w:p>
      <w:r>
        <w:rPr>
          <w:color w:val="5A7D3A"/>
          <w:sz w:val="18"/>
        </w:rPr>
        <w:t>https://pubmed.ncbi.nlm.nih.gov/42902272/</w:t>
      </w:r>
    </w:p>
    <w:p>
      <w:pPr>
        <w:pStyle w:val="Heading2"/>
      </w:pPr>
      <w:r>
        <w:t>Wie Desinformation in sozialen Medien Impfbereitschaft politisiert: Fallstudie Saskatchewan</w:t>
      </w:r>
    </w:p>
    <w:p>
      <w:r>
        <w:rPr>
          <w:i/>
          <w:color w:val="666666"/>
          <w:sz w:val="18"/>
        </w:rPr>
        <w:t>Dyck E et al.  ·  Can J Health Hist  ·  20.10.2026  ·  PMID 42900833</w:t>
      </w:r>
    </w:p>
    <w:p>
      <w:r>
        <w:t>Qualitative Analyse mit Interviews und Medienquellen zu Verschiebung der Impfakzeptanz in Saskatchewan während COVID-19: von Konsens für Impfung 2020 zu Anti-Impf-Bewegung 2021–2022.</w:t>
      </w:r>
    </w:p>
    <w:p>
      <w:r>
        <w:rPr>
          <w:b/>
        </w:rPr>
        <w:t xml:space="preserve">Ergebnis: </w:t>
      </w:r>
      <w:r>
        <w:t>Saskatchewan wandelte sich von Hochburg der Impfstoffproduktion zu Zentrum der Anti-Impf-Bewegung. Unmoderierte Diskurse in sozialen Medien überlagerten kollektive Reaktionen und politisierten Impfungen als pro-regierungspolitisch. Premierminister Scott Moe wechselte von pro-Impf- zu kritischer Haltung gegenüber Bundesimpfpolitik.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föderale Struktur und Medienlandschaft; Mechanismen der Vaccine Hesitancy übertragbar auf DACH-Region.</w:t>
      </w:r>
    </w:p>
    <w:p>
      <w:r>
        <w:rPr>
          <w:color w:val="5A7D3A"/>
          <w:sz w:val="18"/>
        </w:rPr>
        <w:t>https://pubmed.ncbi.nlm.nih.gov/42900833/</w:t>
      </w:r>
    </w:p>
    <w:p>
      <w:pPr>
        <w:pStyle w:val="Heading2"/>
      </w:pPr>
      <w:r>
        <w:t>RSV-Impfung in der Schwangerschaft: Evidenz zur Wirksamkeit und Sicherheit der Prefusion-F-Vakzine</w:t>
      </w:r>
    </w:p>
    <w:p>
      <w:r>
        <w:rPr>
          <w:i/>
          <w:color w:val="666666"/>
          <w:sz w:val="18"/>
        </w:rPr>
        <w:t>Xiao MR et al.  ·  Zhonghua Yu Fang Yi Xue Za Zhi  ·  06.10.2026  ·  PMID 42893914</w:t>
      </w:r>
    </w:p>
    <w:p>
      <w:r>
        <w:t>Narrative Übersichtsarbeit zu RSV-Impfung schwangerer Frauen: Entwicklung, klinische Wirksamkeit, Sicherheit und Strategieempfehlungen von WHO und EMA.</w:t>
      </w:r>
    </w:p>
    <w:p>
      <w:r>
        <w:rPr>
          <w:b/>
        </w:rPr>
        <w:t xml:space="preserve">Ergebnis: </w:t>
      </w:r>
      <w:r>
        <w:t>RSVpreF-Impfstoff zeigt wirksame Übertragung maternaler Antikörper auf Neugeborene und verhindert RSV-Erkrankungen in frühem Säuglingsalter. Sicherheitsdaten positiv, aber langfristige Überwachung erforderlich. Mehrheitlich WHO und EMA empfehlen Impfung schwangerer Frauen ab Trimester 2 oder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China-Review; Empfehlungen von EMA/WHO gelten für deutsche Versorgung, Transfer jedoch an Impfkalender und Datenverfügbarkeit gebunden.</w:t>
      </w:r>
    </w:p>
    <w:p>
      <w:r>
        <w:rPr>
          <w:color w:val="5A7D3A"/>
          <w:sz w:val="18"/>
        </w:rPr>
        <w:t>https://pubmed.ncbi.nlm.nih.gov/42893914/</w:t>
      </w:r>
    </w:p>
    <w:p>
      <w:pPr>
        <w:pStyle w:val="Heading2"/>
      </w:pPr>
      <w:r>
        <w:t>Melioidose in Asien: Unterschätzte Last und Bedarf für Impfstoffentwicklung</w:t>
      </w:r>
    </w:p>
    <w:p>
      <w:r>
        <w:rPr>
          <w:i/>
          <w:color w:val="666666"/>
          <w:sz w:val="18"/>
        </w:rPr>
        <w:t>Afnani MR et al.  ·  Trop Biomed  ·  01.09.2026  ·  PMID 42891935</w:t>
      </w:r>
    </w:p>
    <w:p>
      <w:r>
        <w:t>Narrative Übersichtsarbeit zu Epidemiologie, Risikofaktoren, Therapie und Impfstoffentwicklung der Melioidose in Asien mit Fokus auf Impfkandidaten und Versorgungslücken.</w:t>
      </w:r>
    </w:p>
    <w:p>
      <w:r>
        <w:rPr>
          <w:b/>
        </w:rPr>
        <w:t xml:space="preserve">Ergebnis: </w:t>
      </w:r>
      <w:r>
        <w:t>Südostasien endemisch, Südasien trägt großen Teil der globalen Last. Mehrere Impfkandidaten (live-attenuiert, rekombinant, Glykoknjugate, Vesikel, Nanopartikel) zeigen präklinische Schutzeffekte, aber kein zugelassener Impfstoff vorhanden. One-Health-Ansatz und Kapazitätsaufbau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Narrative Übersicht; Impfkandidaten vorwiegend präklinisch, klinische Daten fehlen.</w:t>
      </w:r>
    </w:p>
    <w:p>
      <w:r>
        <w:rPr>
          <w:color w:val="5A7D3A"/>
          <w:sz w:val="18"/>
        </w:rPr>
        <w:t>https://pubmed.ncbi.nlm.nih.gov/42891935/</w:t>
      </w:r>
    </w:p>
    <w:p>
      <w:pPr>
        <w:pStyle w:val="Heading2"/>
      </w:pPr>
      <w:r>
        <w:t>Darm-Mikrobiom und Impfantwort: Ist personalisierte Impfung nach Mikrobiom-Profiling reif für die Praxis?</w:t>
      </w:r>
    </w:p>
    <w:p>
      <w:r>
        <w:rPr>
          <w:i/>
          <w:color w:val="666666"/>
          <w:sz w:val="18"/>
        </w:rPr>
        <w:t>Sun G et al.  ·  Front Immunol  ·  01.10.2026  ·  PMID 42889669</w:t>
      </w:r>
    </w:p>
    <w:p>
      <w:r>
        <w:t>Systematische Übersichtsarbeit zu Mechanismen, über die das Darm-Mikrobiom die Impfantwort moduliert, mit Fokus auf Short-Chain-Fatty-Acids und Kandidaten für Mikrobiom-gesteuerte Impfoptimierung.</w:t>
      </w:r>
    </w:p>
    <w:p>
      <w:r>
        <w:rPr>
          <w:b/>
        </w:rPr>
        <w:t xml:space="preserve">Ergebnis: </w:t>
      </w:r>
      <w:r>
        <w:t>Taxa replizieren selten über Geographien, Alter und Impfplattformen hinweg. Short-Chain-Fatty-Acids zeigen größte mechanistische Evidenz (vorwiegend präklinisch); Acetate, Propionat und Butyrat unterscheiden sich in Targets, Exposition und Effektrichtung. Probiotika-Studien bei älteren Erwachsenen neutral; BNT162b2 in Mikrobiota-verarmten Mäusen nicht sensitiv. Microbiome-gesteuerte Impfung bleibt Forschungsstrategie, keine etablierte klinische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Übersicht ohne neue empirische Daten; Befunde zu Mechanismen teilweise präklinisch, klinische Übertragbarkeit noch ungeklärt.</w:t>
      </w:r>
    </w:p>
    <w:p>
      <w:r>
        <w:rPr>
          <w:color w:val="5A7D3A"/>
          <w:sz w:val="18"/>
        </w:rPr>
        <w:t>https://pubmed.ncbi.nlm.nih.gov/42889669/</w:t>
      </w:r>
    </w:p>
    <w:p>
      <w:pPr>
        <w:pStyle w:val="Heading2"/>
      </w:pPr>
      <w:r>
        <w:t>Candida-Impfstoffe: Erste klinische Phase-II-Daten mit NDV-3A, aber Translationshürden bleiben</w:t>
      </w:r>
    </w:p>
    <w:p>
      <w:r>
        <w:rPr>
          <w:i/>
          <w:color w:val="666666"/>
          <w:sz w:val="18"/>
        </w:rPr>
        <w:t>Krier J et al.  ·  Int J Mol Sci  ·  23.09.2026  ·  PMID 42883739</w:t>
      </w:r>
    </w:p>
    <w:p>
      <w:r>
        <w:t>Strukturierte narrative Übersichtsarbeit zu Fortschritten und Barrieren in der Candida-Impfstoffentwicklung 2015–2025, mit Fokus auf NDV-3A und klinische sowie präklinische Evidenz.</w:t>
      </w:r>
    </w:p>
    <w:p>
      <w:r>
        <w:rPr>
          <w:b/>
        </w:rPr>
        <w:t xml:space="preserve">Ergebnis: </w:t>
      </w:r>
      <w:r>
        <w:t>NDV-3A erreichte Phase-II-Validierung—erste großangelegte klinische Studie eines Pilzimpfstoffs. Standardisierung A/J-Maus-Modell für C. auris; Computational-Plattformen mit &gt;94% HLA-Populationsabdeckung. Hindernisse: Kommensale-zu-Pathogen-Dualität, Immunsuppression, antigene Plastizität, Unterinvestition. Nächste Generation könnte Bench-zu-Klinik-Lücke schließen.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Narrative Übersicht; NDV-3A Phase-II-Daten begrenzt, Translationsreife noch nicht erreicht.</w:t>
      </w:r>
    </w:p>
    <w:p>
      <w:r>
        <w:rPr>
          <w:color w:val="5A7D3A"/>
          <w:sz w:val="18"/>
        </w:rPr>
        <w:t>https://pubmed.ncbi.nlm.nih.gov/42883739/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