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28.10.2026  |  397 Studien  |  impfen.m-vf.de</w:t>
      </w:r>
    </w:p>
    <w:p>
      <w:pPr>
        <w:pStyle w:val="Heading1"/>
      </w:pPr>
      <w:r>
        <w:t>Aufgenommen am 28.10.2026</w:t>
      </w:r>
    </w:p>
    <w:p>
      <w:pPr>
        <w:pStyle w:val="Heading2"/>
      </w:pPr>
      <w:r>
        <w:t>Grippeimpfung bei Kindern mit chronischen Erkrankungen: 80,6 % Schutz vor Hospitalisierung</w:t>
      </w:r>
    </w:p>
    <w:p>
      <w:r>
        <w:rPr>
          <w:i/>
          <w:color w:val="666666"/>
          <w:sz w:val="18"/>
        </w:rPr>
        <w:t>Toledo D et al.  ·  Eur J Pediatr  ·  27.10.2026  ·  PMID 42944943</w:t>
      </w:r>
    </w:p>
    <w:p>
      <w:r>
        <w:t>Spanische Multizenterstudie über drei Influenzasaisons (2021/22–2023/24) zur Wirksamkeit der Grippeimpfung bei hospitalisierten Kindern mit Grunderkrankungen.</w:t>
      </w:r>
    </w:p>
    <w:p>
      <w:r>
        <w:rPr>
          <w:b/>
        </w:rPr>
        <w:t xml:space="preserve">Ergebnis: </w:t>
      </w:r>
      <w:r>
        <w:t>Bei immunokompetenten Kindern lag die adjustierte Impfeffektivität gegen influenzaassoziierte Hospitalisierung bei 80,6 % (95%-KI: 36,7–95,9), bei immunsupprimierten Kindern war sie nicht statistisch signifikant. Nur 21,5 % der 274 eingeschlossenen Kinder waren geimpft; unter den 66 Influenzafällen betrug der Impfquote 21,5 %.</w:t>
      </w:r>
    </w:p>
    <w:p>
      <w:r>
        <w:rPr>
          <w:b/>
          <w:sz w:val="19"/>
        </w:rPr>
        <w:t xml:space="preserve">Übertragbarkeit: </w:t>
      </w:r>
      <w:r>
        <w:rPr>
          <w:sz w:val="19"/>
        </w:rPr>
        <w:t>Spanien, Krankenhauses-Surveillance; Systeme vergleichbar, aber ohne Impfregister wie Deutschland.</w:t>
      </w:r>
    </w:p>
    <w:p>
      <w:r>
        <w:rPr>
          <w:color w:val="5A7D3A"/>
          <w:sz w:val="18"/>
        </w:rPr>
        <w:t>https://pubmed.ncbi.nlm.nih.gov/42944943/</w:t>
      </w:r>
    </w:p>
    <w:p>
      <w:pPr>
        <w:pStyle w:val="Heading2"/>
      </w:pPr>
      <w:r>
        <w:t>Pertussis in China: 6-Jahres-Booster senkt Inzidenz um 24 %, Säuglinge gewinnen Herdenimmunität</w:t>
      </w:r>
    </w:p>
    <w:p>
      <w:r>
        <w:rPr>
          <w:i/>
          <w:color w:val="666666"/>
          <w:sz w:val="18"/>
        </w:rPr>
        <w:t>He Y et al.  ·  JMIR Public Health Surveill  ·  27.10.2026  ·  PMID 42944720</w:t>
      </w:r>
    </w:p>
    <w:p>
      <w:r>
        <w:t>Mathematisches Modell der Keuchhusten-Transmission in Hunan-Provinz (2010–2025), kalibriert mit chinesischen Meldedaten, zur Bewertung der neuen Auffrischungsimpfung im Alter von 6 Jahren (2025).</w:t>
      </w:r>
    </w:p>
    <w:p>
      <w:r>
        <w:rPr>
          <w:b/>
        </w:rPr>
        <w:t xml:space="preserve">Ergebnis: </w:t>
      </w:r>
      <w:r>
        <w:t>Bei Pertussis-Resurgenz (Peak 4743 Fälle April 2024) verschob sich die Altersverteilung von Säuglingen auf Schulkinder. Mit voller Abdeckung der 6-Jahres-Auffrischung wird erwartet: 24,15 % Reduktion der 10-Jahres-Inzidenz (24.972,58 / 103.408,95 Fälle), 45,06 % Rückgang bei 6–10-Jährigen, indirekte Schutzwirkung bei Säuglingen +28,91 %.</w:t>
      </w:r>
    </w:p>
    <w:p>
      <w:r>
        <w:rPr>
          <w:b/>
          <w:sz w:val="19"/>
        </w:rPr>
        <w:t xml:space="preserve">Übertragbarkeit: </w:t>
      </w:r>
      <w:r>
        <w:rPr>
          <w:sz w:val="19"/>
        </w:rPr>
        <w:t>China, nationale Surveillance; Modell zeigt Altersstruktur-Effekte, Übertragbarkeit für Deutschland bedingt.</w:t>
      </w:r>
    </w:p>
    <w:p>
      <w:r>
        <w:rPr>
          <w:color w:val="5A7D3A"/>
          <w:sz w:val="18"/>
        </w:rPr>
        <w:t>https://pubmed.ncbi.nlm.nih.gov/42944720/</w:t>
      </w:r>
    </w:p>
    <w:p>
      <w:pPr>
        <w:pStyle w:val="Heading2"/>
      </w:pPr>
      <w:r>
        <w:t>Impfskepsis bei Kindern von Migranten: fünf Barrieren, kulturgerechte Lösungen nötig</w:t>
      </w:r>
    </w:p>
    <w:p>
      <w:r>
        <w:rPr>
          <w:i/>
          <w:color w:val="666666"/>
          <w:sz w:val="18"/>
        </w:rPr>
        <w:t>Ike TJ et al.  ·  Front Public Health  ·  12.10.2026  ·  PMID 42935580</w:t>
      </w:r>
    </w:p>
    <w:p>
      <w:r>
        <w:t>Systematischer Review von 10 Studien zu Faktoren der Impfverweigerung bei Eltern mit Migrationshintergrund im Vereinigten Königreich und Interventionen zur Verbesserung der Impfquote.</w:t>
      </w:r>
    </w:p>
    <w:p>
      <w:r>
        <w:rPr>
          <w:b/>
        </w:rPr>
        <w:t xml:space="preserve">Ergebnis: </w:t>
      </w:r>
      <w:r>
        <w:t>Identifiziert fünf Kernbarrieren: Impfskepsis, Misstrauen gegenüber Fachleuten, mangelnde Impfaufklärung, soziale Netzwerke und Familieneinfluss. Empfohlen werden kulturell angepasste Aufklärungsmaterialien und Interventionen, die durch randomisierte kontrollierte Studien getestet werden sollten.</w:t>
      </w:r>
    </w:p>
    <w:p>
      <w:r>
        <w:rPr>
          <w:b/>
          <w:sz w:val="19"/>
        </w:rPr>
        <w:t xml:space="preserve">Übertragbarkeit: </w:t>
      </w:r>
      <w:r>
        <w:rPr>
          <w:sz w:val="19"/>
        </w:rPr>
        <w:t>Großbritannien; Migrationsstrukturen in Europa ähnlich, aber nationale Impfprogramme unterscheiden sich.</w:t>
      </w:r>
    </w:p>
    <w:p>
      <w:r>
        <w:rPr>
          <w:color w:val="5A7D3A"/>
          <w:sz w:val="18"/>
        </w:rPr>
        <w:t>https://pubmed.ncbi.nlm.nih.gov/42935580/</w:t>
      </w:r>
    </w:p>
    <w:p>
      <w:pPr>
        <w:pStyle w:val="Heading2"/>
      </w:pPr>
      <w:r>
        <w:t>Keuchhusten in Xinjiang: Impfeffektivität 47,1 % bei Vakzinierten, U-förmige Altersverteilung</w:t>
      </w:r>
    </w:p>
    <w:p>
      <w:r>
        <w:rPr>
          <w:i/>
          <w:color w:val="666666"/>
          <w:sz w:val="18"/>
        </w:rPr>
        <w:t>Ru L et al.  ·  BMC Infect Dis  ·  30.07.2026  ·  PMID 42934535</w:t>
      </w:r>
    </w:p>
    <w:p>
      <w:r>
        <w:t>Retrospektive Analyse von 2250 Kindern mit Pertussis-Verdacht (März 2024–Juni 2025) in Xinjiang; PCR-gestützte Diagnostik zur Bestimmung von Impfeffektivität, epidemiologischen Mustern und Risikofaktoren.</w:t>
      </w:r>
    </w:p>
    <w:p>
      <w:r>
        <w:rPr>
          <w:b/>
        </w:rPr>
        <w:t xml:space="preserve">Ergebnis: </w:t>
      </w:r>
      <w:r>
        <w:t>Positivitätsrate 9,3 %; höchste Raten bei Säuglingen 0–5 Monate (17,4 % bei 0–2 Monaten), danach Rückgang, dann erneuter Anstieg ≥6 Jahre. Impfquote 90,3 %, aber 82,9 % der Fälle waren geimpft. Impfeffektivität ≥1 Dosis: 47,1 % (95%-KI: 9,4–69,1 %). Sommer größter Risikofaktor (aOR 5,25), Kuchenkontakt (aOR 2,54), Lymphozytose &gt;50 % (aOR 1,56).</w:t>
      </w:r>
    </w:p>
    <w:p>
      <w:r>
        <w:rPr>
          <w:b/>
          <w:sz w:val="19"/>
        </w:rPr>
        <w:t xml:space="preserve">Übertragbarkeit: </w:t>
      </w:r>
      <w:r>
        <w:rPr>
          <w:sz w:val="19"/>
        </w:rPr>
        <w:t>China (Xinjiang), Provinz-Surveillance; ähnliche Impfkalender, aber weniger Booster-Daten als Deutschland.</w:t>
      </w:r>
    </w:p>
    <w:p>
      <w:r>
        <w:rPr>
          <w:color w:val="5A7D3A"/>
          <w:sz w:val="18"/>
        </w:rPr>
        <w:t>https://pubmed.ncbi.nlm.nih.gov/42934535/</w:t>
      </w:r>
    </w:p>
    <w:p>
      <w:pPr>
        <w:pStyle w:val="Heading2"/>
      </w:pPr>
      <w:r>
        <w:t>Gambia: Geburtshilfe-Register zur Impfsicherheit in der Schwangerschaft etabliert</w:t>
      </w:r>
    </w:p>
    <w:p>
      <w:r>
        <w:rPr>
          <w:i/>
          <w:color w:val="666666"/>
          <w:sz w:val="18"/>
        </w:rPr>
        <w:t>Okomo U et al.  ·  Vaccine  ·  20.12.2026  ·  PMID 42858678</w:t>
      </w:r>
    </w:p>
    <w:p>
      <w:r>
        <w:t>Prospektive Beobachtungsstudie an drei Entbindungskliniken in Gambia (Aug. 2022–Aug. 2024) zur Erfassung von Hintergrundereignissen bei Mutter und Neugeborenem zur Überwachung der Sicherheit von Impfungen in der Schwangerschaft.</w:t>
      </w:r>
    </w:p>
    <w:p>
      <w:r>
        <w:rPr>
          <w:b/>
        </w:rPr>
        <w:t xml:space="preserve">Ergebnis: </w:t>
      </w:r>
      <w:r>
        <w:t>Von 5099 eingeschriebenen Frauen wurden 4775 Infanten geboren (4671 Lebendgeburten, 104 Totgeburten). Mütterliche Sterblichkeitsrate 1,3 pro 1000 Geburten (95%-KI: 0,5–2,7), Totgeburtsrate 21,8 (17,8–26,3) pro 1000 Lebendgeburten, neonatale Mortalität 15,6 (12,3–19,6) pro 1000 Lebendgeburten. Etablierte klinische Hintergrund-Referenzwerte für Sicherheitsüberwachung.</w:t>
      </w:r>
    </w:p>
    <w:p>
      <w:r>
        <w:rPr>
          <w:b/>
          <w:sz w:val="19"/>
        </w:rPr>
        <w:t xml:space="preserve">Übertragbarkeit: </w:t>
      </w:r>
      <w:r>
        <w:rPr>
          <w:sz w:val="19"/>
        </w:rPr>
        <w:t>Westafrika; Datenqualität abhängig von klinischer Dokumentation und Impfhistorie-Erfassung.</w:t>
      </w:r>
    </w:p>
    <w:p>
      <w:r>
        <w:rPr>
          <w:color w:val="5A7D3A"/>
          <w:sz w:val="18"/>
        </w:rPr>
        <w:t>https://pubmed.ncbi.nlm.nih.gov/42858678/</w:t>
      </w:r>
    </w:p>
    <w:p>
      <w:pPr>
        <w:pStyle w:val="Heading2"/>
      </w:pPr>
      <w:r>
        <w:t>Spanien: Grippeimpfung 2025–2026 mit Ausweitung bis 17 Jahre empfohlen</w:t>
      </w:r>
    </w:p>
    <w:p>
      <w:r>
        <w:rPr>
          <w:i/>
          <w:color w:val="666666"/>
          <w:sz w:val="18"/>
        </w:rPr>
        <w:t>Alvarez Aldeán J et al.  ·  An Pediatr (Engl Ed)  ·  09.10.2026  ·  PMID 42855362</w:t>
      </w:r>
    </w:p>
    <w:p>
      <w:r>
        <w:t>Spanische Fachgesellschaften (AEV, CAV-AEP, SEIP) evaluieren die Grippekampagne 2025–2026 bei Kindern und Jugendlichen und empfehlen Strategien zur Steigerung der Impfquote.</w:t>
      </w:r>
    </w:p>
    <w:p>
      <w:r>
        <w:rPr>
          <w:b/>
        </w:rPr>
        <w:t xml:space="preserve">Ergebnis: </w:t>
      </w:r>
      <w:r>
        <w:t>Routine-Grippeimpfung für Kinder 6–59 Monate ist entscheidend; Ausweitung der Empfehlung bis 17 Jahre wurde in einigen autonomen Gemeinschaften bereits 2025–2026 umgesetzt. Bericht identifiziert Bedarf für wirksame Strategien zur Steigerung der Durchimpfung und Erweiterung des Impfzielbereichs.</w:t>
      </w:r>
    </w:p>
    <w:p>
      <w:r>
        <w:rPr>
          <w:b/>
          <w:sz w:val="19"/>
        </w:rPr>
        <w:t xml:space="preserve">Übertragbarkeit: </w:t>
      </w:r>
      <w:r>
        <w:rPr>
          <w:sz w:val="19"/>
        </w:rPr>
        <w:t>Spanien, nationale Impfempfehlungen; direkter Bezug zu deutschem Impfkalender.</w:t>
      </w:r>
    </w:p>
    <w:p>
      <w:r>
        <w:rPr>
          <w:color w:val="5A7D3A"/>
          <w:sz w:val="18"/>
        </w:rPr>
        <w:t>https://pubmed.ncbi.nlm.nih.gov/42855362/</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p>
      <w:pPr>
        <w:pStyle w:val="Heading1"/>
      </w:pPr>
      <w:r>
        <w:t>Aufgenommen am 26.10.2026</w:t>
      </w:r>
    </w:p>
    <w:p>
      <w:pPr>
        <w:pStyle w:val="Heading2"/>
      </w:pPr>
      <w:r>
        <w:t>RSV-Schutz: Mütterliche Impfung und Nirsevimab wirksam bei Neugeborenen</w:t>
      </w:r>
    </w:p>
    <w:p>
      <w:r>
        <w:rPr>
          <w:i/>
          <w:color w:val="666666"/>
          <w:sz w:val="18"/>
        </w:rPr>
        <w:t>Jacobson KB et al.  ·  JAMA Netw Open  ·  01.10.2026  ·  PMID 42925481</w:t>
      </w:r>
    </w:p>
    <w:p>
      <w:r>
        <w:t>Vergleich der Wirksamkeit von mütterlicher RSV-Impfung (RSVpreF) versus Nirsevimab-Prophylaxe bei Neugeborenen gegen RSV-Infektionen in zwei Saisons (2023–2025) an einem großen US-Versicherungssystem.</w:t>
      </w:r>
    </w:p>
    <w:p>
      <w:r>
        <w:rPr>
          <w:b/>
        </w:rPr>
        <w:t xml:space="preserve">Ergebnis: </w:t>
      </w:r>
      <w:r>
        <w:t>Von 15.124 Neugeborenen hatten 0,97% eine bestätigte RSV-Infektion (0,94% RSVpreF-Gruppe, 1,04% Nirsevimab). Relative Produkteffektivität RSVpreF vs. Nirsevimab betrug −5,3% (95%-CI −44,8 bis 23,4%) gegen Infektionen und 61,5% (95%-CI −10,8 bis 86,7%) gegen Hospitalisierung – kein statistisch signifikanter Unterschied. Beide Produkte waren RSVpreF 69,3% (59,9–76,6%) bzw. Nirsevimab 65,2% (51,0–75,4%) wirksam gegen Infektion im Vergleich zu keinem Schutz.</w:t>
      </w:r>
    </w:p>
    <w:p>
      <w:r>
        <w:rPr>
          <w:b/>
          <w:sz w:val="19"/>
        </w:rPr>
        <w:t xml:space="preserve">Übertragbarkeit: </w:t>
      </w:r>
      <w:r>
        <w:rPr>
          <w:sz w:val="19"/>
        </w:rPr>
        <w:t>USA-Daten mit hohem Registrierungsstandard; begrenzt auf High-Income-Setting</w:t>
      </w:r>
    </w:p>
    <w:p>
      <w:r>
        <w:rPr>
          <w:color w:val="5A7D3A"/>
          <w:sz w:val="18"/>
        </w:rPr>
        <w:t>https://pubmed.ncbi.nlm.nih.gov/42925481/</w:t>
      </w:r>
    </w:p>
    <w:p>
      <w:pPr>
        <w:pStyle w:val="Heading2"/>
      </w:pPr>
      <w:r>
        <w:t>Pneumokokken-Impfung bei Dialyse- und Transplantationspatienten: Antikörperreaktion über 12 Monate</w:t>
      </w:r>
    </w:p>
    <w:p>
      <w:r>
        <w:rPr>
          <w:i/>
          <w:color w:val="666666"/>
          <w:sz w:val="18"/>
        </w:rPr>
        <w:t>Novelli S et al.  ·  Front Immunol  ·  08.10.2026  ·  PMID 42923341</w:t>
      </w:r>
    </w:p>
    <w:p>
      <w:r>
        <w:t>Serologische Nachverfolgung der Immunantwort gegen 7 Pneumokokken-Serotypen bei Dialyse- und Nierentransplantationspatienten nach Standardschema (Prevenar 13 + Pneumo 23) über 12 Monate.</w:t>
      </w:r>
    </w:p>
    <w:p>
      <w:r>
        <w:rPr>
          <w:b/>
        </w:rPr>
        <w:t xml:space="preserve">Ergebnis: </w:t>
      </w:r>
      <w:r>
        <w:t>Insgesamt stärkere Immunantwort bei Dialysepatienten (DP) als Transplantationspatienten (KTR). Kumulative Serokonversionsrate bei KTR vs. DP: 32,3% vs. 62,2% (3 Monate), 35,5% vs. 73,6% (6 Monate), 39,3% vs. 73,6% (12 Monate). Unterschiede bei Serotypen 6B, 19F, 23F gering.</w:t>
      </w:r>
    </w:p>
    <w:p>
      <w:r>
        <w:rPr>
          <w:b/>
          <w:sz w:val="19"/>
        </w:rPr>
        <w:t xml:space="preserve">Übertragbarkeit: </w:t>
      </w:r>
      <w:r>
        <w:rPr>
          <w:sz w:val="19"/>
        </w:rPr>
        <w:t>Frankreich-Studie; vergleichbare Impfkalender und Patientengruppen; direkt auf deutsche Nierenpatienten übertragbar</w:t>
      </w:r>
    </w:p>
    <w:p>
      <w:r>
        <w:rPr>
          <w:color w:val="5A7D3A"/>
          <w:sz w:val="18"/>
        </w:rPr>
        <w:t>https://pubmed.ncbi.nlm.nih.gov/42923341/</w:t>
      </w:r>
    </w:p>
    <w:p>
      <w:pPr>
        <w:pStyle w:val="Heading2"/>
      </w:pPr>
      <w:r>
        <w:t>Adjuvierte Grippeimpfung für Ältere: Wirtschaftlichkeit im koreanischen Impfprogramm</w:t>
      </w:r>
    </w:p>
    <w:p>
      <w:r>
        <w:rPr>
          <w:i/>
          <w:color w:val="666666"/>
          <w:sz w:val="18"/>
        </w:rPr>
        <w:t>Shim E et al.  ·  Front Public Health  ·  08.10.2026  ·  PMID 42923232</w:t>
      </w:r>
    </w:p>
    <w:p>
      <w:r>
        <w:t>Budgetauswirkungen der Einführung von MF59-adjuvierter Influenza-Impfung (aTIV) für Erwachsene ≥65 Jahren in Südkorea mittels dynamischem Transmissionsmodell zur Erfassung direkter und indirekter Schutzeffekte.</w:t>
      </w:r>
    </w:p>
    <w:p>
      <w:r>
        <w:rPr>
          <w:b/>
        </w:rPr>
        <w:t xml:space="preserve">Ergebnis: </w:t>
      </w:r>
      <w:r>
        <w:t>Strategie I (aTIV ab 75 Jahren): +24,6 Mio. USD Zusatzkosten, 52% durch Behandlungseinsparungen ausgeglichen, Netto +11,7 Mio. USD (+0,9% Influenza-Gesamtbudget). Strategie II (aTIV ab 65 Jahren): +54,4 Mio. USD mit 57% Offset, Netto +23,2 Mio. USD (+1,8%), verhinderte aber 535 Todesfälle und 15.000+ Hospitalisierungen (2,2× höher als Strategie I).</w:t>
      </w:r>
    </w:p>
    <w:p>
      <w:r>
        <w:rPr>
          <w:b/>
          <w:sz w:val="19"/>
        </w:rPr>
        <w:t xml:space="preserve">Übertragbarkeit: </w:t>
      </w:r>
      <w:r>
        <w:rPr>
          <w:sz w:val="19"/>
        </w:rPr>
        <w:t>Ähnliche Altersstruktur und Gesundheitssystemaufbau wie Deutschland; dynamische Modellierung anwendbar</w:t>
      </w:r>
    </w:p>
    <w:p>
      <w:r>
        <w:rPr>
          <w:color w:val="5A7D3A"/>
          <w:sz w:val="18"/>
        </w:rPr>
        <w:t>https://pubmed.ncbi.nlm.nih.gov/42923232/</w:t>
      </w:r>
    </w:p>
    <w:p>
      <w:pPr>
        <w:pStyle w:val="Heading2"/>
      </w:pPr>
      <w:r>
        <w:t>Impfquoten und COVID-19-Risiko bei Kindern: Regionale Ungleichheit in Brasilien</w:t>
      </w:r>
    </w:p>
    <w:p>
      <w:r>
        <w:rPr>
          <w:i/>
          <w:color w:val="666666"/>
          <w:sz w:val="18"/>
        </w:rPr>
        <w:t>Tavares RBV et al.  ·  Epidemiol Serv Saude  ·  24.07.2026  ·  PMID 42922896</w:t>
      </w:r>
    </w:p>
    <w:p>
      <w:r>
        <w:t>Räumlich-zeitliche Analyse von COVID-19-Fällen und -Todesfällen sowie Impfabdeckung bei Kindern/Jugendlichen (0–19 Jahre) in allen 5.570 brasilianischen Gemeinden (2020–2024) mittels Scan-Statistik.</w:t>
      </w:r>
    </w:p>
    <w:p>
      <w:r>
        <w:rPr>
          <w:b/>
        </w:rPr>
        <w:t xml:space="preserve">Ergebnis: </w:t>
      </w:r>
      <w:r>
        <w:t>74.470 Fälle und 3.749 Todesfälle erfasst. Schutzcluster für Fälle (RR 0,28; 95%-CI 0,27–0,29), Hochrisiko-Cluster für Todesfälle Nord/Nordost/Mitte-West (RR 3,28; 95%-CI 3,00–3,59). Grundimpfung erreichte 85,2%, aber Auffrischung nur 23,1%; heterogene räumliche Verteilung mit niedrigerer Abdeckung Nord und Mitte-West.</w:t>
      </w:r>
    </w:p>
    <w:p>
      <w:r>
        <w:rPr>
          <w:b/>
          <w:sz w:val="19"/>
        </w:rPr>
        <w:t xml:space="preserve">Übertragbarkeit: </w:t>
      </w:r>
      <w:r>
        <w:rPr>
          <w:sz w:val="19"/>
        </w:rPr>
        <w:t>Brasilien-Daten; räumliche Ungleichheit relevant für deutsche Regionsanalyse; begrenzte direkte Übertragbarkeit</w:t>
      </w:r>
    </w:p>
    <w:p>
      <w:r>
        <w:rPr>
          <w:color w:val="5A7D3A"/>
          <w:sz w:val="18"/>
        </w:rPr>
        <w:t>https://pubmed.ncbi.nlm.nih.gov/42922896/</w:t>
      </w:r>
    </w:p>
    <w:p>
      <w:pPr>
        <w:pStyle w:val="Heading2"/>
      </w:pPr>
      <w:r>
        <w:t>COVID-19-Impfquoten und Gründe für Ablehnung bei Erwachsenen in Brasilien</w:t>
      </w:r>
    </w:p>
    <w:p>
      <w:r>
        <w:rPr>
          <w:i/>
          <w:color w:val="666666"/>
          <w:sz w:val="18"/>
        </w:rPr>
        <w:t>Rutz AAM et al.  ·  Epidemiol Serv Saude  ·  10.03.2026  ·  PMID 42922771</w:t>
      </w:r>
    </w:p>
    <w:p>
      <w:r>
        <w:t>Bevölkerungsbasierte Querschnittsstudie zur Vollständigkeit der COVID-19-Impfserie (≥3 Dosen) sowie Gründen für Nichtimpfung bei Erwachsenen/Älteren in Rio Grande (2022–2023).</w:t>
      </w:r>
    </w:p>
    <w:p>
      <w:r>
        <w:rPr>
          <w:b/>
        </w:rPr>
        <w:t xml:space="preserve">Ergebnis: </w:t>
      </w:r>
      <w:r>
        <w:t>83,3% erhielten alle drei Dosen. Höhere Impfquote bei Frauen (85,5%), Älteren (92,6%), Nichtrauchern (83,3%) und mit bekannter Impfwichtigkeit (85,1%). Gründe für unvollständige Serie: Impfreaktion (15,8%), Impfstoff nicht verfügbar (8,5%), bekannte Reaktionen bei anderen (8,1%), bereits COVID-19 gehabt (7,3%).</w:t>
      </w:r>
    </w:p>
    <w:p>
      <w:r>
        <w:rPr>
          <w:b/>
          <w:sz w:val="19"/>
        </w:rPr>
        <w:t xml:space="preserve">Übertragbarkeit: </w:t>
      </w:r>
      <w:r>
        <w:rPr>
          <w:sz w:val="19"/>
        </w:rPr>
        <w:t>Brasilien; Sprachenhindernis und Gesundheitssystemunterschiede; relevante Faktoren für Vaccine Hesitancy-Forschung</w:t>
      </w:r>
    </w:p>
    <w:p>
      <w:r>
        <w:rPr>
          <w:color w:val="5A7D3A"/>
          <w:sz w:val="18"/>
        </w:rPr>
        <w:t>https://pubmed.ncbi.nlm.nih.gov/42922771/</w:t>
      </w:r>
    </w:p>
    <w:p>
      <w:pPr>
        <w:pStyle w:val="Heading2"/>
      </w:pPr>
      <w:r>
        <w:t>Impfskepsis gegen Gürtelrose: Barrieren und wirksame Interventionen</w:t>
      </w:r>
    </w:p>
    <w:p>
      <w:r>
        <w:rPr>
          <w:i/>
          <w:color w:val="666666"/>
          <w:sz w:val="18"/>
        </w:rPr>
        <w:t>Hamdan Almutairi A  ·  Clin Ter  ·  Nov. 2026  ·  PMID 42922214</w:t>
      </w:r>
    </w:p>
    <w:p>
      <w:r>
        <w:t>Querschnittsstudie zu Prädiktoren von Vaccine Hesitancy gegen Herpes-Zoster-Impfung sowie simulierte Interventionsstrategien bei 385 Erwachsenen in Saudi-Arabien.</w:t>
      </w:r>
    </w:p>
    <w:p>
      <w:r>
        <w:rPr>
          <w:b/>
        </w:rPr>
        <w:t xml:space="preserve">Ergebnis: </w:t>
      </w:r>
      <w:r>
        <w:t>Nur 15% mit Impfung geimpft, 85% nicht. Hauptbarrieren: Wissensmangel (50%), Kosten (25%), wahrgenommenes niedriges Risiko (20%). Ärztliche Empfehlung (signifikant), Impfbewusstsein und kulturelle Überzeugungen waren unabhängige Prädiktoren. Simulation zeigte: Kombination aus Aufklärungskampagne + Arztempfehlung erreichte höchste vorhergesagte Impfquote.</w:t>
      </w:r>
    </w:p>
    <w:p>
      <w:r>
        <w:rPr>
          <w:b/>
          <w:sz w:val="19"/>
        </w:rPr>
        <w:t xml:space="preserve">Übertragbarkeit: </w:t>
      </w:r>
      <w:r>
        <w:rPr>
          <w:sz w:val="19"/>
        </w:rPr>
        <w:t>Saudi-Arabien; Kultubelemente unterscheiden sich; aber Barrieren-Framework übertragbar</w:t>
      </w:r>
    </w:p>
    <w:p>
      <w:r>
        <w:rPr>
          <w:color w:val="5A7D3A"/>
          <w:sz w:val="18"/>
        </w:rPr>
        <w:t>https://pubmed.ncbi.nlm.nih.gov/42922214/</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