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15.09.2026  |  6 Studien  |  impfen.m-vf.de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COVID-19-Pandemie verbesserte Wissen und Einstellung zur Polioimpfung in Pakistan</w:t>
      </w:r>
    </w:p>
    <w:p>
      <w:r>
        <w:rPr>
          <w:i/>
          <w:color w:val="666666"/>
          <w:sz w:val="18"/>
        </w:rPr>
        <w:t>Ullah A et al.  ·  East Mediterr Health J  ·  03.09.2026  ·  PMID 42734198</w:t>
      </w:r>
    </w:p>
    <w:p>
      <w:r>
        <w:t>Querschnittsstudie mit 308 Eltern von Kindern unter fünf Jahren in Nord-Waziristan, Pakistan (Januar bis April 2025) zum Wissensstand über Polioimpfung vor und nach COVID-19.</w:t>
      </w:r>
    </w:p>
    <w:p>
      <w:r>
        <w:rPr>
          <w:b/>
        </w:rPr>
        <w:t xml:space="preserve">Ergebnis: </w:t>
      </w:r>
      <w:r>
        <w:t>Mittlere Wissenspunktzahl stieg von 6,2±2,3 (vor COVID-19) auf 8,3±2,1 (nach COVID-19; p&lt;0,0001). Gutes Wissen (Punktzahl ≥9) nahm von 36,3 % auf 58,7 % zu, Fehlvorstellungen sanken von 64,9 % auf 35,1 %. Empfehlungen von Fachpersonal (85 %), Social-Media-Kampagnen (76 %) und Verfechter religiöser Führer (55 %) trugen zur Verbesserung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Pakistan – Impfakzeptanz-Befunde, aber anderes Gesundheitssystem</w:t>
      </w:r>
    </w:p>
    <w:p>
      <w:r>
        <w:rPr>
          <w:color w:val="5A7D3A"/>
          <w:sz w:val="18"/>
        </w:rPr>
        <w:t>https://pubmed.ncbi.nlm.nih.gov/42734198/</w:t>
      </w:r>
    </w:p>
    <w:p>
      <w:pPr>
        <w:pStyle w:val="Heading2"/>
      </w:pPr>
      <w:r>
        <w:t>Herpes Zoster-Impfstoff LZ901 schützt 91,6 Prozent der Geimpften vor Erkrankung</w:t>
      </w:r>
    </w:p>
    <w:p>
      <w:r>
        <w:rPr>
          <w:i/>
          <w:color w:val="666666"/>
          <w:sz w:val="18"/>
        </w:rPr>
        <w:t>Jin P et al.  ·  Nat Commun  ·  07.08.2026  ·  PMID 42733065</w:t>
      </w:r>
    </w:p>
    <w:p>
      <w:r>
        <w:t>Randomisierte, placebokontrollierte Phase-3-Studie zur Wirksamkeit und Sicherheit des Herpes-Zoster-Impfstoffs LZ901 (rekombinante gE-Fc-Fusionprotein) bei 26 018 Erwachsenen ab 40 Jahren über 12 Monate.</w:t>
      </w:r>
    </w:p>
    <w:p>
      <w:r>
        <w:rPr>
          <w:b/>
        </w:rPr>
        <w:t xml:space="preserve">Ergebnis: </w:t>
      </w:r>
      <w:r>
        <w:t>Impfeffektivität gegen Herpes Zoster 91,6 % (95%-KI 86,3–95,3; p&lt;0,001); bei 40–69 Jahren 93,9 %, bei ≥70 Jahren 66,9 %. Gegen Post-Zoster-Neuralgie 95,9 % (95%-KI 63,9–99,9). Injektionsstellen- und systemische Reaktionen erhöht, Grad-3-Reaktionen selten (0,3 % vs. 0,4 % Placebo), keine schwerwiegenden unerwünschten 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 epidemiologische Zielgruppe und klinische Endpunkte</w:t>
      </w:r>
    </w:p>
    <w:p>
      <w:r>
        <w:rPr>
          <w:color w:val="5A7D3A"/>
          <w:sz w:val="18"/>
        </w:rPr>
        <w:t>https://pubmed.ncbi.nlm.nih.gov/42733065/</w:t>
      </w:r>
    </w:p>
    <w:p>
      <w:pPr>
        <w:pStyle w:val="Heading2"/>
      </w:pPr>
      <w:r>
        <w:t>Verständnis der Herpes-Zoster-Erkrankung steigert Impfquote bei älteren Erwachsenen in China</w:t>
      </w:r>
    </w:p>
    <w:p>
      <w:r>
        <w:rPr>
          <w:i/>
          <w:color w:val="666666"/>
          <w:sz w:val="18"/>
        </w:rPr>
        <w:t>Bolanos R et al.  ·  Expert Rev Vaccines  ·  12.09.2026  ·  PMID 42728842</w:t>
      </w:r>
    </w:p>
    <w:p>
      <w:r>
        <w:t>Querschnittsstudie mit 1556 Bürgern ab 60 Jahren aus Shenzhen, China (August–Oktober 2024) zu psychosozialen und familiären Faktoren der Herpes-Zoster-Impfakzeptanz.</w:t>
      </w:r>
    </w:p>
    <w:p>
      <w:r>
        <w:rPr>
          <w:b/>
        </w:rPr>
        <w:t xml:space="preserve">Ergebnis: </w:t>
      </w:r>
      <w:r>
        <w:t>8,0 % der Teilnehmer waren geimpft. Besseres Verständnis (Kohärenz) war mit höherer Impfquote assoziiert (AOR 1,15; 95%-KI 1,07–1,24). Impfmüdigkeit korrelierte mit niedrigerer Quote (AOR 0,79; 95%-KI 0,62–0,99). Stark modifizierbare psychosoziale Faktoren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Versorgungskontext anderer, Impfskepsis-Mechanismen aber übertragbar</w:t>
      </w:r>
    </w:p>
    <w:p>
      <w:r>
        <w:rPr>
          <w:color w:val="5A7D3A"/>
          <w:sz w:val="18"/>
        </w:rPr>
        <w:t>https://pubmed.ncbi.nlm.nih.gov/42728842/</w:t>
      </w:r>
    </w:p>
    <w:p>
      <w:pPr>
        <w:pStyle w:val="Heading2"/>
      </w:pPr>
      <w:r>
        <w:t>Mobile-App zur HPV-Impfberatung erhöhte Impfrate bei Kindern auf 48 Prozent</w:t>
      </w:r>
    </w:p>
    <w:p>
      <w:r>
        <w:rPr>
          <w:i/>
          <w:color w:val="666666"/>
          <w:sz w:val="18"/>
        </w:rPr>
        <w:t>Cunningham-Erves J et al.  ·  JMIR Cancer  ·  09.09.2026  ·  PMID 42715554</w:t>
      </w:r>
    </w:p>
    <w:p>
      <w:r>
        <w:t>Pilot-RCT (Juni–September 2023) in zwei Stadtkliniken Tennessee mit 57 Eltern von Kindern 9–17 Jahren. HPVVaxFacts-App vermittelt tailorierte Impfaufklärung vor Klinikbesuch versus Ernährungsedukation (Aufmerksamkeitskontrolle).</w:t>
      </w:r>
    </w:p>
    <w:p>
      <w:r>
        <w:rPr>
          <w:b/>
        </w:rPr>
        <w:t xml:space="preserve">Ergebnis: </w:t>
      </w:r>
      <w:r>
        <w:t>HPV-Impfeinleitung Interventionsgruppe 48 %, Kontrollgruppe 17 % (Differenz 0,24; 95%-KI 0,03–0,46; p=0,01). Wissensgewinne und Besorgnis-Reduktion in der App-Gruppe größer, aber nicht statistisch signifikant (p=0,13 und p=0,14). 81 % der Eltern nutzten die App, Mehrheit fand Protokoll und App akzeptabel.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Impfakzeptanz-Intervention, transferierbar nur für Designprinzipien</w:t>
      </w:r>
    </w:p>
    <w:p>
      <w:r>
        <w:rPr>
          <w:color w:val="5A7D3A"/>
          <w:sz w:val="18"/>
        </w:rPr>
        <w:t>https://pubmed.ncbi.nlm.nih.gov/42715554/</w:t>
      </w:r>
    </w:p>
    <w:p>
      <w:pPr>
        <w:pStyle w:val="Heading2"/>
      </w:pPr>
      <w:r>
        <w:t>Altersabhängige Immunabläufe erklären unterschiedliche Influenza-Impfwirksamkeit über Lebensalter</w:t>
      </w:r>
    </w:p>
    <w:p>
      <w:r>
        <w:rPr>
          <w:i/>
          <w:color w:val="666666"/>
          <w:sz w:val="18"/>
        </w:rPr>
        <w:t>Liu J et al.  ·  Front Immunol  ·  24.08.2026  ·  PMID 42707705</w:t>
      </w:r>
    </w:p>
    <w:p>
      <w:r>
        <w:t>Narrativer Review zu Einflussfaktoren des Alters auf Influenza-Impfeffektivität und zu lebensalter-spezifischen Immunmechanismen von der Entwicklung über Reifung bis zur Immunoseneszenz.</w:t>
      </w:r>
    </w:p>
    <w:p>
      <w:r>
        <w:rPr>
          <w:b/>
        </w:rPr>
        <w:t xml:space="preserve">Ergebnis: </w:t>
      </w:r>
      <w:r>
        <w:t>Influenza-Impfeffektivität zeigt erhebliche altersabhängige Heterogenität. Immun-Remodellierung über die Lebensspanne prägt Vakzin-Reaktionen. Review schlägt altersgerechte Impfstoff-Optimierungsstrategie vor: spezifische Formulierungen für Kinder, Erwachsene und ältere Menschen statt ‚one-dose-fits-all'-Modell. Theoretische Grundlage für Präzisions-Impfparadigma gelegt.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(Institut), aber Immunologie-Mechanismen universal</w:t>
      </w:r>
    </w:p>
    <w:p>
      <w:r>
        <w:rPr>
          <w:color w:val="5A7D3A"/>
          <w:sz w:val="18"/>
        </w:rPr>
        <w:t>https://pubmed.ncbi.nlm.nih.gov/42707705/</w:t>
      </w:r>
    </w:p>
    <w:p>
      <w:pPr>
        <w:pStyle w:val="Heading2"/>
      </w:pPr>
      <w:r>
        <w:t>23-valente Pneumokokken-Polysaccharidimpfung senkte ambulante Pneumonie um knapp 20 Prozent</w:t>
      </w:r>
    </w:p>
    <w:p>
      <w:r>
        <w:rPr>
          <w:i/>
          <w:color w:val="666666"/>
          <w:sz w:val="18"/>
        </w:rPr>
        <w:t>Vernooij FS et al.  ·  Epidemiol Infect  ·  23.07.2026  ·  PMID 42487216</w:t>
      </w:r>
    </w:p>
    <w:p>
      <w:r>
        <w:t>Regression-Discontinuity-Analyse der Wirkung der PPV23-Impfung auf nicht-invasive Pneumokokken-Pneumonie bei Erwachsenen über 60 Jahren in den Niederlanden zwischen 2016 und 2023.</w:t>
      </w:r>
    </w:p>
    <w:p>
      <w:r>
        <w:rPr>
          <w:b/>
        </w:rPr>
        <w:t xml:space="preserve">Ergebnis: </w:t>
      </w:r>
      <w:r>
        <w:t>Gesamtwirksamkeit 19,7 % (95%-KI 8,5–29,7). Die Schutzwirkung nahm über die Zeit seit Impfberechtigung ab, blieb aber auch nach drei Jahren deutlich vorhanden. Daten aus 14 Laboren mit geschätzter Abdeckung von 34,9 % der niederländischen Bevölkerung.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Laborregister</w:t>
      </w:r>
    </w:p>
    <w:p>
      <w:r>
        <w:rPr>
          <w:color w:val="5A7D3A"/>
          <w:sz w:val="18"/>
        </w:rPr>
        <w:t>https://pubmed.ncbi.nlm.nih.gov/42487216/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