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06.09.2026  |  6 Studien  |  impfen.m-vf.de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Tetanus-Schutzimpfungen bei Frauen in Afghanistan: massive Deckungslücken</w:t>
      </w:r>
    </w:p>
    <w:p>
      <w:r>
        <w:rPr>
          <w:i/>
          <w:color w:val="666666"/>
          <w:sz w:val="18"/>
        </w:rPr>
        <w:t>Stanikzai MH et al.  ·  Hum Vaccin Immunother  ·  02.09.2026  ·  PMID 42683523</w:t>
      </w:r>
    </w:p>
    <w:p>
      <w:r>
        <w:t>Nationale Survey mit 12450 verheirateten Frauen in Afghanistan untersuchte Tetanus-Impfquoten und deren Assoziationen.</w:t>
      </w:r>
    </w:p>
    <w:p>
      <w:r>
        <w:rPr>
          <w:b/>
        </w:rPr>
        <w:t xml:space="preserve">Ergebnis: </w:t>
      </w:r>
      <w:r>
        <w:t>Nur 49,9% mit adäquater TT-Immunisierung. Höhere Quote bei sekundärer/höherer Bildung (AOR=1,57), bei ≥4 Antenatal-Care-Besuchen (AOR=4,67), in Regionen mit besserer Infrastruktur. Geringere Quote bei Frauen ≥40 Jahren (AOR=0,76) und in Ost- und Westregionen. Zeigt massive Ungleichheit.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Afghanistan-spezifisch, aber Methode zur Identifikation von Zugangsbarrieren übertragbar</w:t>
      </w:r>
    </w:p>
    <w:p>
      <w:r>
        <w:rPr>
          <w:color w:val="5A7D3A"/>
          <w:sz w:val="18"/>
        </w:rPr>
        <w:t>https://pubmed.ncbi.nlm.nih.gov/42683523/</w:t>
      </w:r>
    </w:p>
    <w:p>
      <w:pPr>
        <w:pStyle w:val="Heading2"/>
      </w:pPr>
      <w:r>
        <w:t>Masern-Antikörperwaning gefährdet Herdenimmunität trotz hoher Impfquoten</w:t>
      </w:r>
    </w:p>
    <w:p>
      <w:r>
        <w:rPr>
          <w:i/>
          <w:color w:val="666666"/>
          <w:sz w:val="18"/>
        </w:rPr>
        <w:t>Wang W et al.  ·  Front Immunol  ·  18.08.2026  ·  PMID 42682682</w:t>
      </w:r>
    </w:p>
    <w:p>
      <w:r>
        <w:t>Chinesische Serologie-Studie mit 2083 Teilnehmern untersuchte Masern-Antikörper-Persistenz und Immunitätslücken nach Elimination des Wildvirus.</w:t>
      </w:r>
    </w:p>
    <w:p>
      <w:r>
        <w:rPr>
          <w:b/>
        </w:rPr>
        <w:t xml:space="preserve">Ergebnis: </w:t>
      </w:r>
      <w:r>
        <w:t>Gesamte Seropositiv-Quote 84,59%, aber Antikörper-Spiegel zeigten nicht-linearen Rückgang mit Zeit. Kinder 8–17 Monate: nur 28,13% Seropositiv. Jedes Jahr seit letzter Impfung erhöhte Seronegativi-Risiko um 11% (AOR=1,11). Dies zeigt erhebliche Immunitätslücken trotz hoher MCV-Abdeckung.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Epidemiologische Erkenntnisse übertragbar auf systematische Surveillance-Überwachung</w:t>
      </w:r>
    </w:p>
    <w:p>
      <w:r>
        <w:rPr>
          <w:color w:val="5A7D3A"/>
          <w:sz w:val="18"/>
        </w:rPr>
        <w:t>https://pubmed.ncbi.nlm.nih.gov/42682682/</w:t>
      </w:r>
    </w:p>
    <w:p>
      <w:pPr>
        <w:pStyle w:val="Heading2"/>
      </w:pPr>
      <w:r>
        <w:t>HPV-Impfschutz bestätigt trotz hoher Prävalenz nicht-geimpfter Typen</w:t>
      </w:r>
    </w:p>
    <w:p>
      <w:r>
        <w:rPr>
          <w:i/>
          <w:color w:val="666666"/>
          <w:sz w:val="18"/>
        </w:rPr>
        <w:t>Gross S et al.  ·  Arch Virol  ·  28.08.2026  ·  PMID 42663706</w:t>
      </w:r>
    </w:p>
    <w:p>
      <w:r>
        <w:t>Französische Studie untersuchte HPV-Genotypen bei 464 geimpften Frauen zur Bewertung der Impfeffektivität unter Alltagsbedingungen.</w:t>
      </w:r>
    </w:p>
    <w:p>
      <w:r>
        <w:rPr>
          <w:b/>
        </w:rPr>
        <w:t xml:space="preserve">Ergebnis: </w:t>
      </w:r>
      <w:r>
        <w:t>HPV16/18-Prävalenz lag bei nur 4,3%, was die Impfeffektivität bestätigt. Allerdings wurden hochrisiko-HPV-Typen (52, 51, 56) in 8,2–5,8% nachgewiesen, die nicht in Bivalent- oder Quadrivalent-Impfstoffen enthalten sind. Dies unterstreicht die Überlegenheit nonavalenter 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Versicherungssystem, Screening-Daten verfügbar</w:t>
      </w:r>
    </w:p>
    <w:p>
      <w:r>
        <w:rPr>
          <w:color w:val="5A7D3A"/>
          <w:sz w:val="18"/>
        </w:rPr>
        <w:t>https://pubmed.ncbi.nlm.nih.gov/42663706/</w:t>
      </w:r>
    </w:p>
    <w:p>
      <w:pPr>
        <w:pStyle w:val="Heading2"/>
      </w:pPr>
      <w:r>
        <w:t>HBV-Therapeutische Impfung zeigt Immunantwort, aber keine funktionale Heilung</w:t>
      </w:r>
    </w:p>
    <w:p>
      <w:r>
        <w:rPr>
          <w:i/>
          <w:color w:val="666666"/>
          <w:sz w:val="18"/>
        </w:rPr>
        <w:t>Jeng WJ et al.  ·  Hepatol Commun  ·  01.09.2026  ·  PMID 42623526</w:t>
      </w:r>
    </w:p>
    <w:p>
      <w:r>
        <w:t>Phase-1/2-RCT mit 134 Patienten mit chronischer Hepatitis B unter Nukleos(t)id-Analoga testete heterologe prime-boost Impfstrategie.</w:t>
      </w:r>
    </w:p>
    <w:p>
      <w:r>
        <w:rPr>
          <w:b/>
        </w:rPr>
        <w:t xml:space="preserve">Ergebnis: </w:t>
      </w:r>
      <w:r>
        <w:t>Kein HBsAg-Verlust oder ≥1-log-Reduktion bei allen 134 Patienten (primärer Endpunkt verfehlt). Co-Gabe induzierte stärkste Anti-HBs-Antwort (73,7% ≥10 mIU/mL vs. 40% sequential). Grade-3-AE häufiger bei Co-Gabe (59,3% systemisch). CD4+/CD8+ T-Zell-Antworten nachgewiesen, aber begrenzte klinische Wirksamkeit.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Zentren, vergleichbar mit deutschem Versicherungssystem</w:t>
      </w:r>
    </w:p>
    <w:p>
      <w:r>
        <w:rPr>
          <w:color w:val="5A7D3A"/>
          <w:sz w:val="18"/>
        </w:rPr>
        <w:t>https://pubmed.ncbi.nlm.nih.gov/42623526/</w:t>
      </w:r>
    </w:p>
    <w:p>
      <w:pPr>
        <w:pStyle w:val="Heading2"/>
      </w:pPr>
      <w:r>
        <w:t>Computergestützte Prognosen in Schwedens COVID-Impfphase: Forschung ohne Politikbezug</w:t>
      </w:r>
    </w:p>
    <w:p>
      <w:r>
        <w:rPr>
          <w:i/>
          <w:color w:val="666666"/>
          <w:sz w:val="18"/>
        </w:rPr>
        <w:t>Jöud AS et al.  ·  BMC Health Serv Res  ·  10.07.2026  ·  PMID 42432642</w:t>
      </w:r>
    </w:p>
    <w:p>
      <w:r>
        <w:t>Systematische Literaturübersicht bewertete 6 peer-reviewte Computerprognosestudien mit Schwedendaten zur COVID-19-Impfphase 2020–2023.</w:t>
      </w:r>
    </w:p>
    <w:p>
      <w:r>
        <w:rPr>
          <w:b/>
        </w:rPr>
        <w:t xml:space="preserve">Ergebnis: </w:t>
      </w:r>
      <w:r>
        <w:t>Alle 6 Studien zeigten Bayesianische Kalibrierung als Methode, aber keine externe Modellvalidation. Kein einziger Artikel bezog sich auf Politikentscheidungen als primären Forschungskontext. Schluss: Computergestützte Forschung diente Modellentwicklung, nicht Politikunterstützung – Kluft zwischen Forschung und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zeigte methodische Lücke bei Verankerung von Forschung in Versorgungspraxis</w:t>
      </w:r>
    </w:p>
    <w:p>
      <w:r>
        <w:rPr>
          <w:color w:val="5A7D3A"/>
          <w:sz w:val="18"/>
        </w:rPr>
        <w:t>https://pubmed.ncbi.nlm.nih.gov/42432642/</w:t>
      </w:r>
    </w:p>
    <w:p>
      <w:pPr>
        <w:pStyle w:val="Heading2"/>
      </w:pPr>
      <w:r>
        <w:t>PCV21 kosteneffektiver als PCV20 in Dänemarks Pneumokokken-Impfprogramm</w:t>
      </w:r>
    </w:p>
    <w:p>
      <w:r>
        <w:rPr>
          <w:i/>
          <w:color w:val="666666"/>
          <w:sz w:val="18"/>
        </w:rPr>
        <w:t>Sharomi O et al.  ·  Expert Rev Pharmacoecon Outcomes Res  ·  10.07.2026  ·  PMID 42421526</w:t>
      </w:r>
    </w:p>
    <w:p>
      <w:r>
        <w:t>Dänemark: Modellanalyse verglich 100-Jahres-Gesundheitsfolgen von PCV21- vs. PCV20-Programm für Erwachsene ≥65 Jahre.</w:t>
      </w:r>
    </w:p>
    <w:p>
      <w:r>
        <w:rPr>
          <w:b/>
        </w:rPr>
        <w:t xml:space="preserve">Ergebnis: </w:t>
      </w:r>
      <w:r>
        <w:t>PCV21 gegenüber PCV20: 29309 NBPP-Fälle, 627 IPD-Fälle und 1312 Todesfälle vermieden über 100 Jahre. 835,2 Mio. dänische Kronen Kosteneinsparung, 759 QALY-Gewinn. ICER-Wert zeigt kostenspannung dominante Strategie (dominant = Einsparungen + bessere Outcomes).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Versicherungssystem und Impfkalender</w:t>
      </w:r>
    </w:p>
    <w:p>
      <w:r>
        <w:rPr>
          <w:color w:val="5A7D3A"/>
          <w:sz w:val="18"/>
        </w:rPr>
        <w:t>https://pubmed.ncbi.nlm.nih.gov/42421526/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