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23.10.2026  |  6 Studien  |  impfen.m-vf.de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Ärztliche Impf-Verordnung hebt Impfquoten bei älteren Erwachsenen deutlich</w:t>
      </w:r>
    </w:p>
    <w:p>
      <w:r>
        <w:rPr>
          <w:i/>
          <w:color w:val="666666"/>
          <w:sz w:val="18"/>
        </w:rPr>
        <w:t>Yan XT et al.  ·  Zhonghua Liu Xing Bing Xue Za Zhi  ·  10.10.2026  ·  PMID 42907186</w:t>
      </w:r>
    </w:p>
    <w:p>
      <w:r>
        <w:t>Vorher-nachher-Querschnittsstudie an 10.500 Patienten in Zhejiang, China (März–April 2024 und September–Oktober 2025), mit multistufiger Stichprobenziehung über 175 Standorte, zur Evaluation eines Impf-Verordnungs-Programms für Influenza, Pneumokokken und Zoster.</w:t>
      </w:r>
    </w:p>
    <w:p>
      <w:r>
        <w:rPr>
          <w:b/>
        </w:rPr>
        <w:t xml:space="preserve">Ergebnis: </w:t>
      </w:r>
      <w:r>
        <w:t>Impfquoten stiegen für Influenza von 45,16 % auf 65,72 %, Pneumokokken von 16,42 % auf 22,74 %, Zoster von 1,93 % auf 5,74 % (alle p &lt; 0,001). Bei Patienten mit Impf-Verordnung: Influenza 79,69 %, Pneumokokken 33,31 %, Zoster 11,13 % – alle signifikant höher als ohne Verordnung. Multivariate Analyse (adjustiert für Demografie und Standortcluster): Influenza aOR = 3,16 (95 %-KI 2,68–3,72), Pneumokokken aOR = 1,56 (1,30–1,87), Zoster aOR = 3,05 (2,18–4,26). Ärztliche Empfehlung als Hauptförderfaktor.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strukturell vergleichbar mit aufsuchenden Programmen; Versorgungspraxis</w:t>
      </w:r>
    </w:p>
    <w:p>
      <w:r>
        <w:rPr>
          <w:color w:val="5A7D3A"/>
          <w:sz w:val="18"/>
        </w:rPr>
        <w:t>https://pubmed.ncbi.nlm.nih.gov/42907186/</w:t>
      </w:r>
    </w:p>
    <w:p>
      <w:pPr>
        <w:pStyle w:val="Heading2"/>
      </w:pPr>
      <w:r>
        <w:t>Verhaltensinterventionen mit Community-Beteiligung erhöhen Impfakzeptanz in fragilen Kontexten</w:t>
      </w:r>
    </w:p>
    <w:p>
      <w:r>
        <w:rPr>
          <w:i/>
          <w:color w:val="666666"/>
          <w:sz w:val="18"/>
        </w:rPr>
        <w:t>Malik FA et al.  ·  Behav Med  ·  21.10.2026  ·  PMID 42904418</w:t>
      </w:r>
    </w:p>
    <w:p>
      <w:r>
        <w:t>Qualitative Prozessevaluationen an vier Gesundheitszentren im Tschad (2022–2023) mit 48 Interviews und Feldbeobachtungen zu Integration einer Paket-Intervention (Impfbotschaften, Champions, Erinnerungsaktivitäten) ins Routine-Impfsystem, geleitet von WHO-BeSD-Rahmen und IA2030.</w:t>
      </w:r>
    </w:p>
    <w:p>
      <w:r>
        <w:rPr>
          <w:b/>
        </w:rPr>
        <w:t xml:space="preserve">Ergebnis: </w:t>
      </w:r>
      <w:r>
        <w:t>Kernfindungen: Partizipative Co-Kreation und aktive Impf-Champions waren zentral für Akzeptanz und Teilnahme. Intervention wurde trotz früher Unterbrechung in Routinepraxen integriert. Akteure beschrieben gestiegenes Community-Vertrauen und erhöhtes Engagement für Impfung, insbesondere in Zero-Dose- und Unter-Immunisierten-Gruppen. Mechanismen für lokale Eigenverantwortung und kontextresponsive Lieferung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Tschad (fragiler Kontext), übertragbar auf Engagement-Strategien in heterogenen Populationen</w:t>
      </w:r>
    </w:p>
    <w:p>
      <w:r>
        <w:rPr>
          <w:color w:val="5A7D3A"/>
          <w:sz w:val="18"/>
        </w:rPr>
        <w:t>https://pubmed.ncbi.nlm.nih.gov/42904418/</w:t>
      </w:r>
    </w:p>
    <w:p>
      <w:pPr>
        <w:pStyle w:val="Heading2"/>
      </w:pPr>
      <w:r>
        <w:t>Verhaltensprogramm für Zahnpraxen könnte HPV-Impfquoten erhöhen</w:t>
      </w:r>
    </w:p>
    <w:p>
      <w:r>
        <w:rPr>
          <w:i/>
          <w:color w:val="666666"/>
          <w:sz w:val="18"/>
        </w:rPr>
        <w:t>Mabry PL et al.  ·  Behav Med  ·  21.10.2026  ·  PMID 42904413</w:t>
      </w:r>
    </w:p>
    <w:p>
      <w:r>
        <w:t>Entwicklungsstudie einer theoriegestützten Verhaltensintervention für Zahnärzte zur Promotion der HPV-Impfung, geleitet durch Behavior Change Wheel und COM-B-Modell, mit Rapid-Review, Interviews mit Zahnpraktikern und Umfragen bei Eltern und geeigneten Patienten (2024–2026).</w:t>
      </w:r>
    </w:p>
    <w:p>
      <w:r>
        <w:rPr>
          <w:b/>
        </w:rPr>
        <w:t xml:space="preserve">Ergebnis: </w:t>
      </w:r>
      <w:r>
        <w:t>Zentrale Barrieren identifiziert: mangelndes Wissen zu HPV/HPV-Impfstoff, niedrige Selbstwirksamkeit, Befürchtungen vor negativen Konsequenzen. Finale Intervention: Didaktische Schulung, Skripte, tailorierte Botschaften in klinischem Entscheidungshilfe-Tool und Leistungs-Feedback. Pilottests: Zeiteffizient, akzeptabel für Praktiker und Patienten/Eltern. Keine Förderung für Effektivitätsstudie – Autoren suchten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Studiendesign übertragbar auf Setting-basierte Impfpromotion</w:t>
      </w:r>
    </w:p>
    <w:p>
      <w:r>
        <w:rPr>
          <w:color w:val="5A7D3A"/>
          <w:sz w:val="18"/>
        </w:rPr>
        <w:t>https://pubmed.ncbi.nlm.nih.gov/42904413/</w:t>
      </w:r>
    </w:p>
    <w:p>
      <w:pPr>
        <w:pStyle w:val="Heading2"/>
      </w:pPr>
      <w:r>
        <w:t>COVID-19- und Influenza-Impfbereitschaft folgen teilweise unterschiedlichen Mustern</w:t>
      </w:r>
    </w:p>
    <w:p>
      <w:r>
        <w:rPr>
          <w:i/>
          <w:color w:val="666666"/>
          <w:sz w:val="18"/>
        </w:rPr>
        <w:t>Duplaga M et al.  ·  Front Public Health  ·  06.10.2026  ·  PMID 42903207</w:t>
      </w:r>
    </w:p>
    <w:p>
      <w:r>
        <w:t>Querschnittsbefragung von 3.000 polnischen Erwachsenen (Mai 2026) mit COM-B-Modell zu Impfabsichten für COVID-19 und Influenza sowie Vaccine-Hesitancy-Skala, Gesundheitskompetenz und Verschwörungsmentalität.</w:t>
      </w:r>
    </w:p>
    <w:p>
      <w:r>
        <w:rPr>
          <w:b/>
        </w:rPr>
        <w:t xml:space="preserve">Ergebnis: </w:t>
      </w:r>
      <w:r>
        <w:t>Impfabsicht: 18,2 % für COVID-19, 31,5 % für Influenza. Fähigkeit (Capability) assoziiert mit beiden Absichten (COVID-19 OR = 1,31; Influenza OR = 1,74). Motivation erhöhte beide (COVID-19 OR = 2,64; Influenza OR = 1,56). Impfskepsis trug zusätzlich erklärende Kraft bei. Politische Präferenz zeigte Impfstoff-spezifisches Muster: Anhänger der Rechtspartei hatten niedrigere COVID-19-Absicht (OR = 0,50), aber keine Assoziation für Influenza. Modellgüte (Nagelkerke R² 0,387–0,392).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Sozialversicherung; COVID-19-Ergebnis überlastet Portfolio aber</w:t>
      </w:r>
    </w:p>
    <w:p>
      <w:r>
        <w:rPr>
          <w:color w:val="5A7D3A"/>
          <w:sz w:val="18"/>
        </w:rPr>
        <w:t>https://pubmed.ncbi.nlm.nih.gov/42903207/</w:t>
      </w:r>
    </w:p>
    <w:p>
      <w:pPr>
        <w:pStyle w:val="Heading2"/>
      </w:pPr>
      <w:r>
        <w:t>Influenza-Impfantwort unterschied sich zwischen ethnischen Gruppen in England</w:t>
      </w:r>
    </w:p>
    <w:p>
      <w:r>
        <w:rPr>
          <w:i/>
          <w:color w:val="666666"/>
          <w:sz w:val="18"/>
        </w:rPr>
        <w:t>Nazareth J et al.  ·  J Infect  ·  29.09.2026  ·  PMID 42810690</w:t>
      </w:r>
    </w:p>
    <w:p>
      <w:r>
        <w:t>Prospektive Kohorte von 815 Gesundheitsfachpersonen in Großbritannien (2020–2022) mit Bestimmung von Hämagglutinin-Hemmtiteln nach Influenza-Impfung.</w:t>
      </w:r>
    </w:p>
    <w:p>
      <w:r>
        <w:rPr>
          <w:b/>
        </w:rPr>
        <w:t xml:space="preserve">Ergebnis: </w:t>
      </w:r>
      <w:r>
        <w:t>Im ersten Jahr zeigten sich keine signifikanten ethnischen Unterschiede. Im zweiten Jahr hatten südasiatische Teilnehmer einen stärkeren Anstieg der A/H1N1-Antikörper während der Booster-Phase (geometrisches Mittel-Ratio 1,77; 95 %-KI 1,26–2,48; p = 0,001). Eine vorherige Influenza-Impfung erklärte die beobachteten Unterschiede teilweise. Die Befunde deuten auf unterschiedliche Immunantworten hin, möglicherweise bedingt durch unterschiedliche Vorimmunsierung.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UK-Klinikdaten, vergleichbare Dokumentationspflichten und Impfkalendar</w:t>
      </w:r>
    </w:p>
    <w:p>
      <w:r>
        <w:rPr>
          <w:color w:val="5A7D3A"/>
          <w:sz w:val="18"/>
        </w:rPr>
        <w:t>https://pubmed.ncbi.nlm.nih.gov/42810690/</w:t>
      </w:r>
    </w:p>
    <w:p>
      <w:pPr>
        <w:pStyle w:val="Heading2"/>
      </w:pPr>
      <w:r>
        <w:t>Mütterliche Keuchhusten-Impfung schützt Neugeborene auch nach COVID-19</w:t>
      </w:r>
    </w:p>
    <w:p>
      <w:r>
        <w:rPr>
          <w:i/>
          <w:color w:val="666666"/>
          <w:sz w:val="18"/>
        </w:rPr>
        <w:t>Walker JL et al.  ·  J Infect  ·  31.08.2026  ·  PMID 42674297</w:t>
      </w:r>
    </w:p>
    <w:p>
      <w:r>
        <w:t>Fallkontrollstudie mit 188 laborbestätigten Pertussis-Fällen bei unter 3 Monate alten Säuglingen (Januar 2020–März 2024) und Deckungsdaten von 453.740 Schwangerschaften in Großbritannien.</w:t>
      </w:r>
    </w:p>
    <w:p>
      <w:r>
        <w:rPr>
          <w:b/>
        </w:rPr>
        <w:t xml:space="preserve">Ergebnis: </w:t>
      </w:r>
      <w:r>
        <w:t>Impfeffektivität gegen laborbestätigte Pertussis 84,6 % (95 %-KI 76,9–89,7 %), gegen Hospitalisierung 88,2 % (95 %-KI 81–92,7 %), gegen Tod 91,5 % (95 %-KI 75,4–97,1 %). Hohe Wirksamkeit über alle Gestationsalter-Kategorien hinweg; kein statistisch signifikanter Unterschied. Das Programm hat seine hohe Schutzwirkung beibehalten und war nicht Ursache des post-pandemischen Pertussis-Anstiegs.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England-Daten, vergleichbare Mutterschaftshilfe und Impfregister</w:t>
      </w:r>
    </w:p>
    <w:p>
      <w:r>
        <w:rPr>
          <w:color w:val="5A7D3A"/>
          <w:sz w:val="18"/>
        </w:rPr>
        <w:t>https://pubmed.ncbi.nlm.nih.gov/42674297/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