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11.09.2026  |  6 Studien  |  impfen.m-vf.de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Hebammensicht auf Impfskepsis und Impfverweigerung: Faktoren und Strategien</w:t>
      </w:r>
    </w:p>
    <w:p>
      <w:r>
        <w:rPr>
          <w:i/>
          <w:color w:val="666666"/>
          <w:sz w:val="18"/>
        </w:rPr>
        <w:t>Çatalgöl Ş et al.  ·  Rev Esc Enferm USP  ·  07.09.2026  ·  PMID 42721439</w:t>
      </w:r>
    </w:p>
    <w:p>
      <w:r>
        <w:t>Deskriptive Querschnittsstudie mit 81 Hebammen in türkischen Familien-Gesundheitszentren zu Faktoren der Impfskepsis und empfohlenen Lösungsstrategien.</w:t>
      </w:r>
    </w:p>
    <w:p>
      <w:r>
        <w:rPr>
          <w:b/>
        </w:rPr>
        <w:t xml:space="preserve">Ergebnis: </w:t>
      </w:r>
      <w:r>
        <w:t>Meistgenannte Faktoren der Impfskepsis: Anti-Impf-Websites (90,1 %), Sorgen um Impfstoff-Inhaltsstoffe (70,4 %), Einfluss von Gemeinschaftsführern (66,7 %), religiöse Bedenken (65,4 %). Empfohlene Strategien: Fernsehen-Inhalte zur Impfung (70,4 %), öffentliche Ankündigungen (67,9 %), Informationen durch Gesundheitsarbeiter (58,0 %).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ähnliche Herausforderungen wie deutschsprachige Länder; Rolle von Hebammen in Versorgung relevant</w:t>
      </w:r>
    </w:p>
    <w:p>
      <w:r>
        <w:rPr>
          <w:color w:val="5A7D3A"/>
          <w:sz w:val="18"/>
        </w:rPr>
        <w:t>https://pubmed.ncbi.nlm.nih.gov/42721439/</w:t>
      </w:r>
    </w:p>
    <w:p>
      <w:pPr>
        <w:pStyle w:val="Heading2"/>
      </w:pPr>
      <w:r>
        <w:t>Phase-1-COVID-19-Vakzin-Studien: Flüssige Entscheidungsfindung unter wechselndem Pandemikontext</w:t>
      </w:r>
    </w:p>
    <w:p>
      <w:r>
        <w:rPr>
          <w:i/>
          <w:color w:val="666666"/>
          <w:sz w:val="18"/>
        </w:rPr>
        <w:t>Halperin DM et al.  ·  Hum Vaccin Immunother  ·  10.09.2026  ·  PMID 42721118</w:t>
      </w:r>
    </w:p>
    <w:p>
      <w:r>
        <w:t>Qualitative Studie zur Untersuchung von Faktoren, die Einschluss und Verbleib in Phase-1-COVID-19-Vakzin-Studien beeinflussen, mit semi-strukturierten Interviews bei Teilnehmern und Nicht-Teilnehmern.</w:t>
      </w:r>
    </w:p>
    <w:p>
      <w:r>
        <w:rPr>
          <w:b/>
        </w:rPr>
        <w:t xml:space="preserve">Ergebnis: </w:t>
      </w:r>
      <w:r>
        <w:t>Teilnahmeentscheidungen sind flüssig, nicht einmalig; Teilnehmer bewerteten Prioritäten kontinuierlich neu in Abhängigkeit von öffentlich zugelassenen Impfstoffen, Mandaten und COVID-19-Fallzahlen. Protokoll-Anpassung mit Erlaubnis zur PHAV-Gabe unterstützte Verbleib bis Studienende.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 Versorgungsstrukturen; qualitative Erkenntnisse auf Impfstoff-Vertrauen übertragbar</w:t>
      </w:r>
    </w:p>
    <w:p>
      <w:r>
        <w:rPr>
          <w:color w:val="5A7D3A"/>
          <w:sz w:val="18"/>
        </w:rPr>
        <w:t>https://pubmed.ncbi.nlm.nih.gov/42721118/</w:t>
      </w:r>
    </w:p>
    <w:p>
      <w:pPr>
        <w:pStyle w:val="Heading2"/>
      </w:pPr>
      <w:r>
        <w:t>Erweiterte HPV-Impfung in Polen: Gesundheitsgewinne und Kosteneffizienz</w:t>
      </w:r>
    </w:p>
    <w:p>
      <w:r>
        <w:rPr>
          <w:i/>
          <w:color w:val="666666"/>
          <w:sz w:val="18"/>
        </w:rPr>
        <w:t>Jaworski R et al.  ·  J Med Econ  ·  09.09.2026  ·  PMID 42717549</w:t>
      </w:r>
    </w:p>
    <w:p>
      <w:r>
        <w:t>Kosten-Nutzen-Analyse zur Erweiterung der HPV-Impfung auf Jungen und Mädchen im Alter 9–17 Jahren in Polen.</w:t>
      </w:r>
    </w:p>
    <w:p>
      <w:r>
        <w:rPr>
          <w:b/>
        </w:rPr>
        <w:t xml:space="preserve">Ergebnis: </w:t>
      </w:r>
      <w:r>
        <w:t>Erhöhung der Impfquoten von 20 % auf 60 % reduziert HPV-assoziierte Erkrankungen um 16 % und Todesfälle um 13 %; bei 90 % Abdeckung Reduktion um 33 % bzw. 27 %. Jeder investierte EUR 1,00 erbringt EUR 4,2 (Gesellschaft) bzw. EUR 2,2 (Fiskus) bei 60 % Abdeckung; EUR 4,6 bzw. EUR 2,4 bei 90 %.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Sozialversicherungssystem, Impfkalender-Modellierung</w:t>
      </w:r>
    </w:p>
    <w:p>
      <w:r>
        <w:rPr>
          <w:color w:val="5A7D3A"/>
          <w:sz w:val="18"/>
        </w:rPr>
        <w:t>https://pubmed.ncbi.nlm.nih.gov/42717549/</w:t>
      </w:r>
    </w:p>
    <w:p>
      <w:pPr>
        <w:pStyle w:val="Heading2"/>
      </w:pPr>
      <w:r>
        <w:t>EV-A71-Impfung in Shanghai: 89,9 % Effektivität, Verschiebung zu Nicht-EV-A71-Serotypen</w:t>
      </w:r>
    </w:p>
    <w:p>
      <w:r>
        <w:rPr>
          <w:i/>
          <w:color w:val="666666"/>
          <w:sz w:val="18"/>
        </w:rPr>
        <w:t>Xu Z et al.  ·  Hum Vaccin Immunother  ·  09.09.2026  ·  PMID 42714139</w:t>
      </w:r>
    </w:p>
    <w:p>
      <w:r>
        <w:t>Test-Negative-Design-Studie zur Wirksamkeit der EV-A71-Impfung gegen Hand-Fuß-Mund-Krankheit in Shanghai 2009–2023, mit Vergleich prä- und post-Impfprogramm-Epidemiologie.</w:t>
      </w:r>
    </w:p>
    <w:p>
      <w:r>
        <w:rPr>
          <w:b/>
        </w:rPr>
        <w:t xml:space="preserve">Ergebnis: </w:t>
      </w:r>
      <w:r>
        <w:t>Gesamtwirksamkeit gegen EV-A71-assoziierte HFMD und Herpangina: 89,9 % (95%-KI: 74,5–96,0) für Zwei-Dosen-Serie, 67,9 % (95%-KI: 2,6–89,6) für Einzeldosis. Nach Impfprogramm-Einführung: Inzidenz-Reduktion 56,7 %, Schweregradreduktion 95,2 %, null Todesfälle (von 3 auf 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aber Versorgungseffektivität in realer Welt gut dokumentiert; Serotyp-Shift hat globale Relevanz</w:t>
      </w:r>
    </w:p>
    <w:p>
      <w:r>
        <w:rPr>
          <w:color w:val="5A7D3A"/>
          <w:sz w:val="18"/>
        </w:rPr>
        <w:t>https://pubmed.ncbi.nlm.nih.gov/42714139/</w:t>
      </w:r>
    </w:p>
    <w:p>
      <w:pPr>
        <w:pStyle w:val="Heading2"/>
      </w:pPr>
      <w:r>
        <w:t>mRNA-Impfung verursacht reproduzierbare Transkript-Isoform-Verschiebungen</w:t>
      </w:r>
    </w:p>
    <w:p>
      <w:r>
        <w:rPr>
          <w:i/>
          <w:color w:val="666666"/>
          <w:sz w:val="18"/>
        </w:rPr>
        <w:t>Riemann L et al.  ·  Eur J Immunol  ·  Sept. 2026  ·  PMID 42670157</w:t>
      </w:r>
    </w:p>
    <w:p>
      <w:r>
        <w:t>Analyse longitudinaler RNA-Sequenzierungs-Daten zur Charakterisierung von Veränderungen in der Transkript-Isoform-Nutzung nach mRNA-Impfung.</w:t>
      </w:r>
    </w:p>
    <w:p>
      <w:r>
        <w:rPr>
          <w:b/>
        </w:rPr>
        <w:t xml:space="preserve">Ergebnis: </w:t>
      </w:r>
      <w:r>
        <w:t>mRNA-Impfung induziert schnelle und transiente Welle differentieller Transkript-Nutzung, die 24 h post-Impfung mit 131 veränderten Isoformen über 107 Gene gipfelt, vor Auflösung bis Tag 14. Muster reproduzierbar über mehrere Impfstoff-Kohorten (MVA-basiert, Influenza, Ebola).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Grundlagenforschung ohne klinischen Endpunkt, nicht geeignet für Versorgungsanalyse</w:t>
      </w:r>
    </w:p>
    <w:p>
      <w:r>
        <w:rPr>
          <w:color w:val="5A7D3A"/>
          <w:sz w:val="18"/>
        </w:rPr>
        <w:t>https://pubmed.ncbi.nlm.nih.gov/42670157/</w:t>
      </w:r>
    </w:p>
    <w:p>
      <w:pPr>
        <w:pStyle w:val="Heading2"/>
      </w:pPr>
      <w:r>
        <w:t>Influenza- und Herpes-Zoster-Impfeffektivität bei Autoimmunerkrankungen: keine Unterschiede zu Gesunden</w:t>
      </w:r>
    </w:p>
    <w:p>
      <w:r>
        <w:rPr>
          <w:i/>
          <w:color w:val="666666"/>
          <w:sz w:val="18"/>
        </w:rPr>
        <w:t>Denz R et al.  ·  J Infect Public Health  ·  02.07.2026  ·  PMID 42398453</w:t>
      </w:r>
    </w:p>
    <w:p>
      <w:r>
        <w:t>Emulierte Zielstudien mit Anspruchsdaten einer großen deutschen Krankenkasse zur Vergleichbarkeit der Impfwirksamkeit zwischen Personen mit und ohne Autoimmunerkrankungen (MS, IBD, CIRD).</w:t>
      </w:r>
    </w:p>
    <w:p>
      <w:r>
        <w:rPr>
          <w:b/>
        </w:rPr>
        <w:t xml:space="preserve">Ergebnis: </w:t>
      </w:r>
      <w:r>
        <w:t>Herpes-Zoster-Wirksamkeit: 68,73 % (95%-KI: 55,75–77,91) bei AID, 60,30 % (55,59–64,52) ohne AID; Wirksamkeitsverhältnis 1,14 (0,93–1,30). Influenza-Wirksamkeit ohne relevante Unterschiede über vier Saisonen; alle Wirksamkeitsverhältnisse nahe 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Anspruchsdaten, vergleichbar mit Routine-Versorgung; MS, IBD, CIRD-Patienten relevant für Versorgung</w:t>
      </w:r>
    </w:p>
    <w:p>
      <w:r>
        <w:rPr>
          <w:color w:val="5A7D3A"/>
          <w:sz w:val="18"/>
        </w:rPr>
        <w:t>https://pubmed.ncbi.nlm.nih.gov/42398453/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2026-09-11T06:00:00Z</dcterms:created>
  <dcterms:modified xsi:type="dcterms:W3CDTF">2026-09-11T06:00:00Z</dcterms:modified>
  <cp:category/>
</cp:coreProperties>
</file>