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Impfen und Impfpraevention</w:t>
      </w:r>
    </w:p>
    <w:p>
      <w:r>
        <w:rPr>
          <w:i/>
          <w:color w:val="666666"/>
          <w:sz w:val="18"/>
        </w:rPr>
        <w:t>Stand: 22.08.2026  |  13 Studien  |  impfen.m-vf.de</w:t>
      </w:r>
    </w:p>
    <w:p>
      <w:pPr>
        <w:pStyle w:val="Heading1"/>
      </w:pPr>
      <w:r>
        <w:t>Aufgenommen am 22.08.2026</w:t>
      </w:r>
    </w:p>
    <w:p>
      <w:pPr>
        <w:pStyle w:val="Heading2"/>
      </w:pPr>
      <w:r>
        <w:t>HPV-Impfung senkt Häufigkeit von Larynx- und Bindehautpapillomen in Dänemark</w:t>
      </w:r>
    </w:p>
    <w:p>
      <w:r>
        <w:rPr>
          <w:i/>
          <w:color w:val="666666"/>
          <w:sz w:val="18"/>
        </w:rPr>
        <w:t>Aakilde M et al.  ·  APMIS  ·  Aug. 2026  ·  PMID 42619272</w:t>
      </w:r>
    </w:p>
    <w:p>
      <w:r>
        <w:t>Register-Studie: 33 juvenile Larynx-, 134 Bindehautpapillom-Patienten 2005–2024 mit HPV-Subtypisierung und Impfstatus-Abfrage.</w:t>
      </w:r>
    </w:p>
    <w:p>
      <w:r>
        <w:rPr>
          <w:b/>
        </w:rPr>
        <w:t xml:space="preserve">Ergebnis: </w:t>
      </w:r>
      <w:r>
        <w:t>Larynxpapillom-Inzidenz sank von 0,190 pro 100.000 (2005–2013) auf 0,107 (2014–2024), nicht signifikant (p=0,145); keine Fälle bei geimpften Müttern. Bindehautpapillom-Inzidenz sank signifikant um 5,3 % pro Jahr (p=0,002). HPV-6/-11 in 74,1 % nachgewiesen. Studie zeigt Schutzeffekt des Impfprogramms auf Bindehautpapillome, juvenile Larynxpapillome bleiben selten und nur bei ungeimpften Müttern.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nationales Register, vergleichbare nordeuropäische Impfpraxis</w:t>
      </w:r>
    </w:p>
    <w:p>
      <w:r>
        <w:rPr>
          <w:color w:val="5A7D3A"/>
          <w:sz w:val="18"/>
        </w:rPr>
        <w:t>https://pubmed.ncbi.nlm.nih.gov/42619272/</w:t>
      </w:r>
    </w:p>
    <w:p>
      <w:pPr>
        <w:pStyle w:val="Heading2"/>
      </w:pPr>
      <w:r>
        <w:t>Hepatitis-B-Impfquoten bei trans und nicht-binären Menschen in Deutschland: Wer bleibt ungeimpft?</w:t>
      </w:r>
    </w:p>
    <w:p>
      <w:r>
        <w:rPr>
          <w:i/>
          <w:color w:val="666666"/>
          <w:sz w:val="18"/>
        </w:rPr>
        <w:t>Biallas R et al.  ·  BMC Public Health  ·  11.08.2026  ·  PMID 42576212</w:t>
      </w:r>
    </w:p>
    <w:p>
      <w:r>
        <w:t>Online-Survey von 2.358 trans und nicht-binären Personen zu Hepatitis-B-Diagnosen und Impfstatus, RKI-Studie.</w:t>
      </w:r>
    </w:p>
    <w:p>
      <w:r>
        <w:rPr>
          <w:b/>
        </w:rPr>
        <w:t xml:space="preserve">Ergebnis: </w:t>
      </w:r>
      <w:r>
        <w:t>HBV-Prävalenz 0,6 %, Impfquote 56,3 %. Quote höher bei Personen auf dem männlichen Spektrum (PR 1,29) als weiblich/nicht-binär; höher mit Hochschulbildung (PR 1,44) und in Großstädten (PR 1,22). 550 (21,7 %) waren impfempfohlen; von 213 mit negativem Impfstatus waren 65 % unter 30 und hätten Routine-Impfung erhalten sollen. Wissenslücken zu Hepatitis als Hauptprädiktor für niedrige Quote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RKI-Studie, deutsche Hochrisikopopulation; Ungleichheit nach Bildung, Geschlechtsidentität und Urbanisierung</w:t>
      </w:r>
    </w:p>
    <w:p>
      <w:r>
        <w:rPr>
          <w:color w:val="5A7D3A"/>
          <w:sz w:val="18"/>
        </w:rPr>
        <w:t>https://pubmed.ncbi.nlm.nih.gov/42576212/</w:t>
      </w:r>
    </w:p>
    <w:p>
      <w:pPr>
        <w:pStyle w:val="Heading1"/>
      </w:pPr>
      <w:r>
        <w:t>Aufgenommen am 21.08.2026</w:t>
      </w:r>
    </w:p>
    <w:p>
      <w:pPr>
        <w:pStyle w:val="Heading2"/>
      </w:pPr>
      <w:r>
        <w:t>MenACWY-Impfung und Meningokokken-Carriage bei Studierenden: Wirksamkeitsevidenz aus Carriage-Monitoring</w:t>
      </w:r>
    </w:p>
    <w:p>
      <w:r>
        <w:rPr>
          <w:i/>
          <w:color w:val="666666"/>
          <w:sz w:val="18"/>
        </w:rPr>
        <w:t>Harvey-Cowlishaw T et al.  ·  Front Public Health  ·  05.08.2026  ·  PMID 42621093</w:t>
      </w:r>
    </w:p>
    <w:p>
      <w:r>
        <w:t>Querschnittstudie (September + November 2024) an 400 Studierenden einer UK-Universität mit Keimkultur/PCR und Vollgenomsequenzierung von Meningokokken-Carriern.</w:t>
      </w:r>
    </w:p>
    <w:p>
      <w:r>
        <w:rPr>
          <w:b/>
        </w:rPr>
        <w:t xml:space="preserve">Ergebnis: </w:t>
      </w:r>
      <w:r>
        <w:t>Carriage-Rate Sepember 12,5 %, November 25,3 % (p&lt;0,05). Genogruppe C: null Isolate (100 % Reduktion durch MenACWY-Vakzinierung). Genogruppe Y: null verkappselte Isolate in dieser Kohorte, konsistent mit Impfeffektivität. Genogruppe B: 34,3 % (multipler Clonal Complex, teils hyperinvasiv). MenACWY schützt Studierende effektiv vor W/Y-Carriage; Genogruppe B bleibt 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UK, Kariologie-Surveillance, vergleichbare adoleszente Impfprogramme</w:t>
      </w:r>
    </w:p>
    <w:p>
      <w:r>
        <w:rPr>
          <w:color w:val="5A7D3A"/>
          <w:sz w:val="18"/>
        </w:rPr>
        <w:t>https://pubmed.ncbi.nlm.nih.gov/42621093/</w:t>
      </w:r>
    </w:p>
    <w:p>
      <w:pPr>
        <w:pStyle w:val="Heading2"/>
      </w:pPr>
      <w:r>
        <w:t>Vorbuchte Impftermine für COVID-19: Burden-Vergleich und Wirkung auf Uptake-Intention</w:t>
      </w:r>
    </w:p>
    <w:p>
      <w:r>
        <w:rPr>
          <w:i/>
          <w:color w:val="666666"/>
          <w:sz w:val="18"/>
        </w:rPr>
        <w:t>Sanders JG et al.  ·  Vaccine  ·  30.08.2026  ·  PMID 42546637</w:t>
      </w:r>
    </w:p>
    <w:p>
      <w:r>
        <w:t>Formative Evaluationsstudie (Niederlande) in zwei Phasen – qualitativ (15 Interviews) und experimentell (n=1.886) – zur Wirkung von Vorbuchung vs. Selbstbuchung auf Impfintention.</w:t>
      </w:r>
    </w:p>
    <w:p>
      <w:r>
        <w:rPr>
          <w:b/>
        </w:rPr>
        <w:t xml:space="preserve">Ergebnis: </w:t>
      </w:r>
      <w:r>
        <w:t>Phase 1: Vorbuchung wurde als fürsorglich und auch als bevormundend wahrgenommen. Phase 2: Selbstbuchung wurde als weniger belastend wahrgenommen (β=−0,23, p&lt;0,05), führte aber nicht zu höherer Impfintention (aOR=1,11). Auch bei zögerlichen Personen kein Unterschied (aOR=0,88). Vorbuchung verändert COVID-19-Intention nicht – konservative Empfehlung: Selbstbuchung für bereits geimpfte Ältere.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 (RIVM), vergleichbares Versicherungssystem und Impfinfrastruktur</w:t>
      </w:r>
    </w:p>
    <w:p>
      <w:r>
        <w:rPr>
          <w:color w:val="5A7D3A"/>
          <w:sz w:val="18"/>
        </w:rPr>
        <w:t>https://pubmed.ncbi.nlm.nih.gov/42546637/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Impfquoten in der Schwangerschaft in Deutschland 2004–2022: Was bleibt ungenutzt?</w:t>
      </w:r>
    </w:p>
    <w:p>
      <w:r>
        <w:rPr>
          <w:i/>
          <w:color w:val="666666"/>
          <w:sz w:val="18"/>
        </w:rPr>
        <w:t>Mulanje L et al.  ·  Sci Rep  ·  18.08.2026  ·  PMID 42613346</w:t>
      </w:r>
    </w:p>
    <w:p>
      <w:r>
        <w:t>Eine Analyse von über 2,8 Mio. Schwangerschaften in deutschen Krankenkassendaten zeigte, wie sich Impfquoten in der Schwangerschaft entwickelten.</w:t>
      </w:r>
    </w:p>
    <w:p>
      <w:r>
        <w:rPr>
          <w:b/>
        </w:rPr>
        <w:t xml:space="preserve">Ergebnis: </w:t>
      </w:r>
      <w:r>
        <w:t>Influenza-Impfquote bei Schwangeren stieg von 2 % (2004–2009) auf 19 % (2020–2022), Pertussis von 3 % (2015–2019) auf 37 % (2020–2022). Weniger als 50 % der empfohlenen Schwangerschaftsimpfungen wurden durchgeführt; Gründe bleiben unklar. Etwa 0,3 % erhielten kontraindizierte Lebendimpfstoffe.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Krankenkassendaten mit vollständiger Erfassung, direkt übertragbar auf deutsches Versorgungssystem.</w:t>
      </w:r>
    </w:p>
    <w:p>
      <w:r>
        <w:rPr>
          <w:color w:val="5A7D3A"/>
          <w:sz w:val="18"/>
        </w:rPr>
        <w:t>https://pubmed.ncbi.nlm.nih.gov/42613346/</w:t>
      </w:r>
    </w:p>
    <w:p>
      <w:pPr>
        <w:pStyle w:val="Heading2"/>
      </w:pPr>
      <w:r>
        <w:t>HPV-Impfung für Adoleszente: Verhaltenswissenschaftliche Entwicklung einer Intervention (15–17 Jahre)</w:t>
      </w:r>
    </w:p>
    <w:p>
      <w:r>
        <w:rPr>
          <w:i/>
          <w:color w:val="666666"/>
          <w:sz w:val="18"/>
        </w:rPr>
        <w:t>Flood T et al.  ·  PLoS One  ·  14.08.2026  ·  PMID 42599892</w:t>
      </w:r>
    </w:p>
    <w:p>
      <w:r>
        <w:t>Qualitative Studie mit fokussierten Interviews (Impfschwestern n=26, Schüler n=34, Lehrer/Schulnursen n=18) zur Entwicklung eines theoriegestützten HPV-Interventionsangebots.</w:t>
      </w:r>
    </w:p>
    <w:p>
      <w:r>
        <w:rPr>
          <w:b/>
        </w:rPr>
        <w:t xml:space="preserve">Ergebnis: </w:t>
      </w:r>
      <w:r>
        <w:t>Systematische Übersicht fand Mangel an Interventionen für diese Altersgruppe. Identifiziert wurden 12 Barrieren für drei Zielverhalten (Schülerentscheidung, Professionalisierung, öffentliche Akzeptanz). Entwickelte Intervention: schulgestützte HPV-Bildung mit Impfangebot, öffentliche Medienkampagne; Erfolg hängt von Unterstützung durch Behörden und Lehrplanintegration 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Nordirland, ähnliche schulbasierte Impfstrukturen wie Deutschland, Barrier-Identifizierung übertragbar.</w:t>
      </w:r>
    </w:p>
    <w:p>
      <w:r>
        <w:rPr>
          <w:color w:val="5A7D3A"/>
          <w:sz w:val="18"/>
        </w:rPr>
        <w:t>https://pubmed.ncbi.nlm.nih.gov/42599892/</w:t>
      </w:r>
    </w:p>
    <w:p>
      <w:pPr>
        <w:pStyle w:val="Heading2"/>
      </w:pPr>
      <w:r>
        <w:t>COVID-19-Sterblichkeit bei Menschen mit schweren psychischen Erkrankungen: Übersterblichkeit trotz Impfung</w:t>
      </w:r>
    </w:p>
    <w:p>
      <w:r>
        <w:rPr>
          <w:i/>
          <w:color w:val="666666"/>
          <w:sz w:val="18"/>
        </w:rPr>
        <w:t>Chilman N et al.  ·  Lancet Psychiatry  ·  Sept. 2026  ·  PMID 42586081</w:t>
      </w:r>
    </w:p>
    <w:p>
      <w:r>
        <w:t>Gesamtbevölkerungsstudie in England (n=13.463.945 COVID-19-Fälle, davon 1,19 % mit schwerer psychischer Erkrankung) auf Mortalität über drei Pandemiephasen mit unterschiedlichem Impfzugang.</w:t>
      </w:r>
    </w:p>
    <w:p>
      <w:r>
        <w:rPr>
          <w:b/>
        </w:rPr>
        <w:t xml:space="preserve">Ergebnis: </w:t>
      </w:r>
      <w:r>
        <w:t>Übersterblichkeit bei schwerer psychischer Erkrankung: aHR 1,56 (95%-KI 1,53–1,59). In Phase 1 (vor Impfung): aHR 1,27; Phase 2 (Impfstart): aHR 1,56; Phase 3 (nach Impfung): aHR 1,55. Impfquoten initial höher (73,2 % vs. 67,4 %), am Ende aber niedriger (79,4 % vs. 87,2 %). Impfung minderte Risiko nur partiell (aHR 1,25, 95%-KI 1,17–1,34).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England-Gesamtbevölkerung, nationales Gesundheitssystem wie Deutschland, Ungleichheitsfrage zentral.</w:t>
      </w:r>
    </w:p>
    <w:p>
      <w:r>
        <w:rPr>
          <w:color w:val="5A7D3A"/>
          <w:sz w:val="18"/>
        </w:rPr>
        <w:t>https://pubmed.ncbi.nlm.nih.gov/42586081/</w:t>
      </w:r>
    </w:p>
    <w:p>
      <w:pPr>
        <w:pStyle w:val="Heading1"/>
      </w:pPr>
      <w:r>
        <w:t>Aufgenommen am 19.08.2026</w:t>
      </w:r>
    </w:p>
    <w:p>
      <w:pPr>
        <w:pStyle w:val="Heading2"/>
      </w:pPr>
      <w:r>
        <w:t>Psychisches Wohlbefinden und COVID-19-Impfquote: 2,68-fach höherer Impfanteil bei hohem CASP-Wohlbefind</w:t>
      </w:r>
    </w:p>
    <w:p>
      <w:r>
        <w:rPr>
          <w:i/>
          <w:color w:val="666666"/>
          <w:sz w:val="18"/>
        </w:rPr>
        <w:t>Gao Y et al.  ·  Hum Vaccin Immunother  ·  18.08.2026  ·  PMID 42610257</w:t>
      </w:r>
    </w:p>
    <w:p>
      <w:r>
        <w:t>Prospektive Analyse von 29.597 europäischen Erwachsenen ≥50 Jahren (SHARE-Studie, 27 Länder + Israel) zur Assoziation zwischen psychischem Wohlbefinden (CASP-12-Skala) und COVID-19-Impfung, Infektion und Long COVID.</w:t>
      </w:r>
    </w:p>
    <w:p>
      <w:r>
        <w:rPr>
          <w:b/>
        </w:rPr>
        <w:t xml:space="preserve">Ergebnis: </w:t>
      </w:r>
      <w:r>
        <w:t>Personen mit höchster CASP-12-Punktzahl vs. niedrigster: OR für COVID-19-Impfung 2,68 (95%-KI 2,44–2,96). Reduktion von Long COVID um 23% (OR 0,77, 95%-KI 0,64–0,93). Kein signifikanter Effekt auf Infektionsrisiko (OR 0,87, 95%-KI 0,74–1,02). Höheres psychisches Wohlbefinden mit verbessertem Impfstatus und reduziertem Long-COVID-Risiko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27 europäische Länder, generalisierbar auf deutschsprachigen Raum</w:t>
      </w:r>
    </w:p>
    <w:p>
      <w:r>
        <w:rPr>
          <w:color w:val="5A7D3A"/>
          <w:sz w:val="18"/>
        </w:rPr>
        <w:t>https://pubmed.ncbi.nlm.nih.gov/42610257/</w:t>
      </w:r>
    </w:p>
    <w:p>
      <w:pPr>
        <w:pStyle w:val="Heading2"/>
      </w:pPr>
      <w:r>
        <w:t>Pädiater-Wissenlücken zur RSV-Immunisierung: 55,9% mit durchschnittlichem bis niedrigem Nirsevimab-Wissen</w:t>
      </w:r>
    </w:p>
    <w:p>
      <w:r>
        <w:rPr>
          <w:i/>
          <w:color w:val="666666"/>
          <w:sz w:val="18"/>
        </w:rPr>
        <w:t>Di Chiara C et al.  ·  PLoS One  ·  17.08.2026  ·  PMID 42607062</w:t>
      </w:r>
    </w:p>
    <w:p>
      <w:r>
        <w:t>Befragung von 578 Pädiatern (Rücklaufquote 19,3%) in Spanien, Italien und Zypern/Griechenland zu Wissen, Einstellungen und Barrieren bezüglich neuer RSV-Impfstrategen.</w:t>
      </w:r>
    </w:p>
    <w:p>
      <w:r>
        <w:rPr>
          <w:b/>
        </w:rPr>
        <w:t xml:space="preserve">Ergebnis: </w:t>
      </w:r>
      <w:r>
        <w:t>50% Spanien, 40% Italien, 10% Zypern/Griechenland. Nur 245 Befragte (55,9%) berichteten durchschnittliches bis niedriges Nirsevimab-Wissen, 375 (86,0%) zeigten gleiches für Mutterimpfstoff (p=0,002). Trotz Wissenslücken: 311 (85,9%) bereit, Nirsevimab zu verabreichen, 319 (92,2%) unterstützten es für alle Neugeborenen. Barrieren (20,0% genannt): Unbekannt und logistische Herausforderungen. 165 (47,4%) bevorzugten die Mutterimpfung gegenüber Nirsevimab.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aber spanische Erfahrung mit Nirsevimab bereits verfügbar</w:t>
      </w:r>
    </w:p>
    <w:p>
      <w:r>
        <w:rPr>
          <w:color w:val="5A7D3A"/>
          <w:sz w:val="18"/>
        </w:rPr>
        <w:t>https://pubmed.ncbi.nlm.nih.gov/42607062/</w:t>
      </w:r>
    </w:p>
    <w:p>
      <w:pPr>
        <w:pStyle w:val="Heading2"/>
      </w:pPr>
      <w:r>
        <w:t>HPV-Impfung und Schwangerschaftsergebnisse: Registerstudie zeigt keine erhöhten Fehlgeburtsrisiken</w:t>
      </w:r>
    </w:p>
    <w:p>
      <w:r>
        <w:rPr>
          <w:i/>
          <w:color w:val="666666"/>
          <w:sz w:val="18"/>
        </w:rPr>
        <w:t>Koivisto T et al.  ·  Eur J Public Health  ·  04.08.2026  ·  PMID 42586610</w:t>
      </w:r>
    </w:p>
    <w:p>
      <w:r>
        <w:t>Register-Follow-up von 20.426 HPV-geimpften und 19.473 ungeimpften Frauen (Finland, Geburtskohorte 1990-1995) über 11 Jahre zu frühen Schwangerschaftskomplikationen.</w:t>
      </w:r>
    </w:p>
    <w:p>
      <w:r>
        <w:rPr>
          <w:b/>
        </w:rPr>
        <w:t xml:space="preserve">Ergebnis: </w:t>
      </w:r>
      <w:r>
        <w:t>Fehlgeburtsquote in der geimpften Gruppe 1,6% versus 5,3% in der ungeimpften Kontrollgruppe (p&lt;0,0001). Keine zeitliche Assoziation zwischen Impfung und Fehlgeburten. Eileiterschwangerschaften waren selten und vergleichbar (0,6–1,0%). Bei Frauen mit Vorgeschichte von Komplikationen hatten 55,6% der Geimpften mindestens eine Lebendgeburt versus 70,3% der Ungeimpften. Die Impfung war nicht mit erhöhtem Fehlgeburts- oder anderem Schwangerschaftsrisiko verbunden.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Finnland, Register mit hoher Datenqualität</w:t>
      </w:r>
    </w:p>
    <w:p>
      <w:r>
        <w:rPr>
          <w:color w:val="5A7D3A"/>
          <w:sz w:val="18"/>
        </w:rPr>
        <w:t>https://pubmed.ncbi.nlm.nih.gov/42586610/</w:t>
      </w:r>
    </w:p>
    <w:p>
      <w:pPr>
        <w:pStyle w:val="Heading2"/>
      </w:pPr>
      <w:r>
        <w:t>Influenza-Impfeffektivität gegen Krankenhausaufnahmen: 46% Gesamtschutz in Nordirland 2024/25</w:t>
      </w:r>
    </w:p>
    <w:p>
      <w:r>
        <w:rPr>
          <w:i/>
          <w:color w:val="666666"/>
          <w:sz w:val="18"/>
        </w:rPr>
        <w:t>Bucholc M et al.  ·  Influenza Other Respir Viruses  ·  Aug. 2026  ·  PMID 42560010</w:t>
      </w:r>
    </w:p>
    <w:p>
      <w:r>
        <w:t>Test-Negativ-Design mit 2.024 influenzapositiven Fällen und 13.109 Kontrollen in 15.133 hospitalisierten Patienten zur Schätzung der Impfeffektivität gegen laborbestätigte Influenza.</w:t>
      </w:r>
    </w:p>
    <w:p>
      <w:r>
        <w:rPr>
          <w:b/>
        </w:rPr>
        <w:t xml:space="preserve">Ergebnis: </w:t>
      </w:r>
      <w:r>
        <w:t>Impfeffektivität gegen Influenza insgesamt 46,0% (95%-KI 39,7–51,8%), höher bei Kindern 2-17 Jahren (60,8%, 48,3–70,5%) als Erwachsenen 18-64 Jahren (40,5%, 24,9–53,2%) oder ≥65 Jahren (42,3%, 33,2–50,1%). Gegen Influenza-B: 76,4% (64,9–84,7%). Effektivität gegen A(H1) 44,3%, gegen A(H3) 49,9%. Die Wirksamkeit war höchsten 2-8 Wochen post-Impfung (51,9%) und nahm 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UK-Daten, vergleichbar mit deutschem Gesundheitssystem</w:t>
      </w:r>
    </w:p>
    <w:p>
      <w:r>
        <w:rPr>
          <w:color w:val="5A7D3A"/>
          <w:sz w:val="18"/>
        </w:rPr>
        <w:t>https://pubmed.ncbi.nlm.nih.gov/42560010/</w:t>
      </w:r>
    </w:p>
    <w:p>
      <w:pPr>
        <w:pStyle w:val="Heading2"/>
      </w:pPr>
      <w:r>
        <w:t>Impfluecken bei Kindern in Deutschland: Sozioökonomische Unterschiede und Rolle des Versorgungstyps</w:t>
      </w:r>
    </w:p>
    <w:p>
      <w:r>
        <w:rPr>
          <w:i/>
          <w:color w:val="666666"/>
          <w:sz w:val="18"/>
        </w:rPr>
        <w:t>Nussbaum C et al.  ·  BMC Med  ·  04.08.2026  ·  PMID 42557557</w:t>
      </w:r>
    </w:p>
    <w:p>
      <w:r>
        <w:t>Analyse von 430.000 Kindern aus Versicherungsdaten 2016-2019 zur Erfassung von Impfquoten und sozioökonomischen Gradienten bei von STIKO empfohlenen Impfungen.</w:t>
      </w:r>
    </w:p>
    <w:p>
      <w:r>
        <w:rPr>
          <w:b/>
        </w:rPr>
        <w:t xml:space="preserve">Ergebnis: </w:t>
      </w:r>
      <w:r>
        <w:t>Etwa 80% der empfohlenen Impfserien waren vollständig und rechtzeitig durchgeführt. Ein kleiner, aber signifikanter sozioökonomischer Gradient zugunsten höherer Einkommen zeigte sich (Konzentrationsindex 0,024). Der Anbietertyp erklärt den größten Teil des Gradienten: Hausarztpraxen hatten niedrigere Abschlussquoten als Kinderarztpraxen. Reisezeit trug weniger bei.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Krankenkassendaten, vergleichbare Dokumentationspflichten</w:t>
      </w:r>
    </w:p>
    <w:p>
      <w:r>
        <w:rPr>
          <w:color w:val="5A7D3A"/>
          <w:sz w:val="18"/>
        </w:rPr>
        <w:t>https://pubmed.ncbi.nlm.nih.gov/42557557/</w:t>
      </w:r>
    </w:p>
    <w:p>
      <w:pPr>
        <w:pStyle w:val="Heading2"/>
      </w:pPr>
      <w:r>
        <w:t>Keuchhusten-Impfeffektivität im Säuglingsalter in den Niederlanden: 98,2% Schutz bei vollständiger Impfung</w:t>
      </w:r>
    </w:p>
    <w:p>
      <w:r>
        <w:rPr>
          <w:i/>
          <w:color w:val="666666"/>
          <w:sz w:val="18"/>
        </w:rPr>
        <w:t>van Meijeren DL et al.  ·  Vaccine  ·  13.08.2026  ·  PMID 42526173</w:t>
      </w:r>
    </w:p>
    <w:p>
      <w:r>
        <w:t>Fall-Kontroll-Studie mit 1.156 Fällen und 4.624 Kontrollen (laborbestätigt, 12-35 Monate, 2013-2024) zur Wirksamkeit der Grundimmunisierung gegen Pertussis.</w:t>
      </w:r>
    </w:p>
    <w:p>
      <w:r>
        <w:rPr>
          <w:b/>
        </w:rPr>
        <w:t xml:space="preserve">Ergebnis: </w:t>
      </w:r>
      <w:r>
        <w:t>Gesamteffektivität 98,2% (95%-KI 97,6–98,6) bei vollständiger Impfung. Wirksamkeit nahm mit der Zeit seit Impfung ab (p&lt;0,001): 51,9% zwei bis acht Wochen nach Impfung, 44,6% nach 9-16 Wochen, 41,4% nach ≥16 Wochen. Höhere Effektivität bei Kindern 2-17 Jahre (60,8%) als bei Erwachsenen 18-64 Jahre (40,5%) oder ≥65 Jahre (42,3%).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 und Vakzine</w:t>
      </w:r>
    </w:p>
    <w:p>
      <w:r>
        <w:rPr>
          <w:color w:val="5A7D3A"/>
          <w:sz w:val="18"/>
        </w:rPr>
        <w:t>https://pubmed.ncbi.nlm.nih.gov/42526173/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2026-08-22T06:00:00Z</dcterms:created>
  <dcterms:modified xsi:type="dcterms:W3CDTF">2026-08-22T06:00:00Z</dcterms:modified>
  <cp:category/>
</cp:coreProperties>
</file>