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14.09.2026  |  7 Studien  |  impfen.m-vf.de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Impfkampagnen-Monitoring: Abweichungen zwischen Felderhebungen und Nachbarschafts-Umfragen</w:t>
      </w:r>
    </w:p>
    <w:p>
      <w:r>
        <w:rPr>
          <w:i/>
          <w:color w:val="666666"/>
          <w:sz w:val="18"/>
        </w:rPr>
        <w:t>Thakkar N  ·  Gates Open Res  ·  01.09.2026  ·  PMID 42732098</w:t>
      </w:r>
    </w:p>
    <w:p>
      <w:r>
        <w:t>Analyse von Impfteam-Tallies (tägliche Dokumentation Geimpfter) versus Post-Campaign Coverage Surveys (PCCS) in Kano-Kampagne 2023 (Masern, Nigeria) unter Verwendung von Capture-Recapture-Methoden.</w:t>
      </w:r>
    </w:p>
    <w:p>
      <w:r>
        <w:rPr>
          <w:b/>
        </w:rPr>
        <w:t xml:space="preserve">Ergebnis: </w:t>
      </w:r>
      <w:r>
        <w:t>Erhebliche Diskrepanzen zwischen Tally-basierten Recapture-Schätzungen und PCCS-Daten. Tally-Daten ermöglichen präzise, quasi-zeitgleiche Monitoring und hohe räumliche Auflösung. Verschiedene Verzerrungsmodelle erklären Abweichungen: Doppelzählungen, fehlende Dokumentation, Non-Response in PCCS. Tally-Sheets als unkonventionelle, aber nachvollziehbare Populationsstichprobe zur Echtzeitbewertung von Implementierungsqualität.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Nigeria/Subsahara-Kontext, Methodik auf deutsche Kampagnen-Evaluation anwendbar, insbes. zur Echtzeit-Qualitätskontrolle.</w:t>
      </w:r>
    </w:p>
    <w:p>
      <w:r>
        <w:rPr>
          <w:color w:val="5A7D3A"/>
          <w:sz w:val="18"/>
        </w:rPr>
        <w:t>https://pubmed.ncbi.nlm.nih.gov/42732098/</w:t>
      </w:r>
    </w:p>
    <w:p>
      <w:pPr>
        <w:pStyle w:val="Heading2"/>
      </w:pPr>
      <w:r>
        <w:t>Verzögerte Impfungen: Globale Systeme erfassen Catch-up-Dosen unzureichend</w:t>
      </w:r>
    </w:p>
    <w:p>
      <w:r>
        <w:rPr>
          <w:i/>
          <w:color w:val="666666"/>
          <w:sz w:val="18"/>
        </w:rPr>
        <w:t>Danovaro-Holliday MC et al.  ·  Gates Open Res  ·  01.09.2026  ·  PMID 42732096</w:t>
      </w:r>
    </w:p>
    <w:p>
      <w:r>
        <w:t>Analyse von WHO/UNICEF-Daten aus 194 Ländern (2016–2022) zur Fähigkeit von Immunisierungssystemen, verzögerte (Catch-up-)Impfdosen zu dokumentieren und zu monitoren.</w:t>
      </w:r>
    </w:p>
    <w:p>
      <w:r>
        <w:rPr>
          <w:b/>
        </w:rPr>
        <w:t xml:space="preserve">Ergebnis: </w:t>
      </w:r>
      <w:r>
        <w:t>Nur 55,5–64,4 % der Länder verfügten über Systeme zur Erfassung verzögerter Dosen; in Amerika (AMR) 77,1–82,9 %. Median-Anteil verzögerter MCV1-Dosen: 4,4 %. Catch-up-Aktivitäten würden gemeldete Impfquoten um ca. 4 Prozentpunkte erhöhen. Erhebliche regionale Unterschiede je nach Einkommensstatus und Gavi-Teilnahme.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Systemanalyse, zeigt Schwächen in deutscher Impfdokumentation (Deutschland hat kein zentrales Impfregister).</w:t>
      </w:r>
    </w:p>
    <w:p>
      <w:r>
        <w:rPr>
          <w:color w:val="5A7D3A"/>
          <w:sz w:val="18"/>
        </w:rPr>
        <w:t>https://pubmed.ncbi.nlm.nih.gov/42732096/</w:t>
      </w:r>
    </w:p>
    <w:p>
      <w:pPr>
        <w:pStyle w:val="Heading2"/>
      </w:pPr>
      <w:r>
        <w:t>Masern als Messlatte: Warum Eradikation Impfsysteme stärkt</w:t>
      </w:r>
    </w:p>
    <w:p>
      <w:r>
        <w:rPr>
          <w:i/>
          <w:color w:val="666666"/>
          <w:sz w:val="18"/>
        </w:rPr>
        <w:t>Durrheim DN et al.  ·  Hum Vaccin Immunother  ·  12.09.2026  ·  PMID 42730634</w:t>
      </w:r>
    </w:p>
    <w:p>
      <w:r>
        <w:t>Perspektive zur strategischen Bedeutung von Masern-Eradikation als Katalysator für Aufbau stabiler Impfprogramme und Gesundheitssysteme, besonders im Kontext steigender Ausbrüche.</w:t>
      </w:r>
    </w:p>
    <w:p>
      <w:r>
        <w:rPr>
          <w:b/>
        </w:rPr>
        <w:t xml:space="preserve">Ergebnis: </w:t>
      </w:r>
      <w:r>
        <w:t>Masern-Eradikation erfordert und katalysiert Fähigkeiten, die auch grundlegend für resiliente Systeme sind: hohe Routineimpfquoten, sensitive Surveillance, qualitätsgesicherte Labornetzwerke, schnelle Ausbruchreaktion, Gemeinschaftsbeteiligung. Aktuelle Ausbrüche signalisieren Systemfragilitäten und bieten Gelegenheit zur Stärkung von Impfgerechtigkeit.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Conceptual framework zur Systemstärkung, international anwendbar, besonders relevant für Länder mit Ausbrüchen.</w:t>
      </w:r>
    </w:p>
    <w:p>
      <w:r>
        <w:rPr>
          <w:color w:val="5A7D3A"/>
          <w:sz w:val="18"/>
        </w:rPr>
        <w:t>https://pubmed.ncbi.nlm.nih.gov/42730634/</w:t>
      </w:r>
    </w:p>
    <w:p>
      <w:pPr>
        <w:pStyle w:val="Heading2"/>
      </w:pPr>
      <w:r>
        <w:t>Sierra Leone: Von Impfstoff-Verfügbarkeit zur Bevölkerungsschutzung – Deployment Readiness</w:t>
      </w:r>
    </w:p>
    <w:p>
      <w:r>
        <w:rPr>
          <w:i/>
          <w:color w:val="666666"/>
          <w:sz w:val="18"/>
        </w:rPr>
        <w:t>Ikoona EN et al.  ·  Ann Glob Health  ·  07.09.2026  ·  PMID 42730077</w:t>
      </w:r>
    </w:p>
    <w:p>
      <w:r>
        <w:t>Vergleichende Analyse von Impfkampagnen-Implementierung in Sierra Leone (COVID-19 2021, Ebola 2024, Mpox 2025) zur Identifikation kritischer Faktoren zwischen Zulassung und Vakzinierungsbeginn.</w:t>
      </w:r>
    </w:p>
    <w:p>
      <w:r>
        <w:rPr>
          <w:b/>
        </w:rPr>
        <w:t xml:space="preserve">Ergebnis: </w:t>
      </w:r>
      <w:r>
        <w:t>COVID-19: 45 Tage von EMA-Zulassung bis Impfstart; 73,2–86,7 % Deckung in Zielgruppe. Ebola: 1.851 Tage bis Impfstart trotz globales Stockpile seit 2021. Mpox: 106 Tage nach Ausbruchbestätigung, 186.053 Personen erreicht. &gt;84 % der COVID-Dosen über Surge-Kampagnen. Produktverfügbarkeit allein unzureichend; nationale Aktivierung, Finanzierung und Anbindung an globale Vorgaben entscheidend.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Niedrig-/mitteleinkommiges Land (WHO-EMRO), Implementierungs-Framework transferierbar auf deutsche Krise-Impf-Vorbereitung.</w:t>
      </w:r>
    </w:p>
    <w:p>
      <w:r>
        <w:rPr>
          <w:color w:val="5A7D3A"/>
          <w:sz w:val="18"/>
        </w:rPr>
        <w:t>https://pubmed.ncbi.nlm.nih.gov/42730077/</w:t>
      </w:r>
    </w:p>
    <w:p>
      <w:pPr>
        <w:pStyle w:val="Heading2"/>
      </w:pPr>
      <w:r>
        <w:t>Dengue- und Chikungunya-Impfstoffe: Verfügbarkeit ungleich Erreichen von Risikogruppen</w:t>
      </w:r>
    </w:p>
    <w:p>
      <w:r>
        <w:rPr>
          <w:i/>
          <w:color w:val="666666"/>
          <w:sz w:val="18"/>
        </w:rPr>
        <w:t>La Porta CAM et al.  ·  Open Res Eur  ·  22.08.2026  ·  PMID 42728936</w:t>
      </w:r>
    </w:p>
    <w:p>
      <w:r>
        <w:t>Übersichtsarbeit zu Lücken zwischen Impfstoff-Zulassung/globaler Verfügbarkeit und epidemiologischer Risikoverbreitung sowie inkonsistentem Eintrag in nationale Impfprogramme.</w:t>
      </w:r>
    </w:p>
    <w:p>
      <w:r>
        <w:rPr>
          <w:b/>
        </w:rPr>
        <w:t xml:space="preserve">Ergebnis: </w:t>
      </w:r>
      <w:r>
        <w:t>Erhebliche Diskrepanzen zwischen geografischen Regionen mit regulatorischer Zulassung und Zonen höchster epidemiologischer Belastung (Dengue, Chikungunya). Nationale Impfprogramm-Inklusion fragmentarisch. Aktuelle Strategien reaktiv, unzureichend an Transmissionsmuster und Gesundheitssystem-Kapazität angepasst. Bedarf: Präparedness-orientierte Frameworks für zeitgerechte Einführung, nachhaltige Abdeckung, risikoadaptives Deployment.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zeigt Koordinationsproblem zwischen Zulassung und Programm-Aufnahme, relevant für deutsche Impfkalender-Entscheidungen.</w:t>
      </w:r>
    </w:p>
    <w:p>
      <w:r>
        <w:rPr>
          <w:color w:val="5A7D3A"/>
          <w:sz w:val="18"/>
        </w:rPr>
        <w:t>https://pubmed.ncbi.nlm.nih.gov/42728936/</w:t>
      </w:r>
    </w:p>
    <w:p>
      <w:pPr>
        <w:pStyle w:val="Heading2"/>
      </w:pPr>
      <w:r>
        <w:t>Norovirus-Impfung in England: Kostenwirksam durch Vermeidung von Nierenschäden</w:t>
      </w:r>
    </w:p>
    <w:p>
      <w:r>
        <w:rPr>
          <w:i/>
          <w:color w:val="666666"/>
          <w:sz w:val="18"/>
        </w:rPr>
        <w:t>Bolt H et al.  ·  Epidemics  ·  28.07.2026  ·  PMID 42537313</w:t>
      </w:r>
    </w:p>
    <w:p>
      <w:r>
        <w:t>Modellierung der gesundheitsökonomischen Effekte einer Norovirus-Impfung in England, die Akutnierenschäden als Spätfolge berücksichtigt.</w:t>
      </w:r>
    </w:p>
    <w:p>
      <w:r>
        <w:rPr>
          <w:b/>
        </w:rPr>
        <w:t xml:space="preserve">Ergebnis: </w:t>
      </w:r>
      <w:r>
        <w:t>Kombinierte Impfstrategie für Kinder und Ältere reduzierte symptomatische Infektionen um 64–66 %. Mit akuten Nierenschäden war eine Impfstoffeffektivität von 35 % noch kosteneffektiv (Schwellenwert: £ 20.000 pro QALY). Ohne Berücksichtigung der Nierenschäden war keine Strategie kosteneffektiv.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Versorgungssystem, vergleichbar mit deutschen Health Economics-Evaluationen.</w:t>
      </w:r>
    </w:p>
    <w:p>
      <w:r>
        <w:rPr>
          <w:color w:val="5A7D3A"/>
          <w:sz w:val="18"/>
        </w:rPr>
        <w:t>https://pubmed.ncbi.nlm.nih.gov/42537313/</w:t>
      </w:r>
    </w:p>
    <w:p>
      <w:pPr>
        <w:pStyle w:val="Heading2"/>
      </w:pPr>
      <w:r>
        <w:t>Viruslast-Dynamik und Varianten: Was Frankreichs Routinetests über Impfschutz verraten</w:t>
      </w:r>
    </w:p>
    <w:p>
      <w:r>
        <w:rPr>
          <w:i/>
          <w:color w:val="666666"/>
          <w:sz w:val="18"/>
        </w:rPr>
        <w:t>Beaulieu M et al.  ·  PLoS Comput Biol  ·  27.07.2026  ·  PMID 42507756</w:t>
      </w:r>
    </w:p>
    <w:p>
      <w:r>
        <w:t>Analysen von 322.218 PCR-Tests aus Frankreich 2021–2022 zur Erfassung der Viraldy­namik unter verschiedenen Varianten und Impfstatus bei symptomatic infection.</w:t>
      </w:r>
    </w:p>
    <w:p>
      <w:r>
        <w:rPr>
          <w:b/>
        </w:rPr>
        <w:t xml:space="preserve">Ergebnis: </w:t>
      </w:r>
      <w:r>
        <w:t>Alter ≥ 65 Jahre: längere Clearance-Zeit um 2–6 Tage. Geimpfte Personen: 2–4 Tage kürzere Clearance. Omicron: um 2–3 Ct niedrigere Peakviruslast und um 1–2 Tage kürzere Clearance als Delta. Gemeinschafts-PCR-Testdaten ermöglichen robuste Virusdynamik-Schätzungen.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ähnliche Surveillance-Infrastruktur wie Deutschland, Methode auf deutsche Testdaten übertragbar.</w:t>
      </w:r>
    </w:p>
    <w:p>
      <w:r>
        <w:rPr>
          <w:color w:val="5A7D3A"/>
          <w:sz w:val="18"/>
        </w:rPr>
        <w:t>https://pubmed.ncbi.nlm.nih.gov/42507756/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