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Impfen und Impfpraevention</w:t>
      </w:r>
    </w:p>
    <w:p>
      <w:r>
        <w:rPr>
          <w:i/>
          <w:color w:val="666666"/>
          <w:sz w:val="18"/>
        </w:rPr>
        <w:t>Stand: 26.08.2026  |  17 Studien  |  impfen.m-vf.de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Influenza-Impfskepsis bei georgischen Gesundheitspersonal senkt Impfquote über drei Jahre</w:t>
      </w:r>
    </w:p>
    <w:p>
      <w:r>
        <w:rPr>
          <w:i/>
          <w:color w:val="666666"/>
          <w:sz w:val="18"/>
        </w:rPr>
        <w:t>Artemchuk O et al.  ·  PLoS One  ·  25.08.2026  ·  PMID 42640914</w:t>
      </w:r>
    </w:p>
    <w:p>
      <w:r>
        <w:t>Prospektive Kohortenstudie in Georgien mit 403 Krankenhausmitarbeitenden über drei Influenza-Saisons (2021–2024): Welche Faktoren beeinflussen die Annahme der jährlichen Influenza-Impfung?</w:t>
      </w:r>
    </w:p>
    <w:p>
      <w:r>
        <w:rPr>
          <w:b/>
        </w:rPr>
        <w:t xml:space="preserve">Ergebnis: </w:t>
      </w:r>
      <w:r>
        <w:t>72 % erhielten mindestens einmal die Impfung, 28 % nie. Mangelndes Vertrauen in Sicherheit (aOR 0,27) und Wirksamkeit (aOR 0,36) sowie das Alter 40–49 Jahre (aOR 2,67) waren die Hauptfaktoren. Eine Klinik hatte deutlich niedrigere Quoten (aOR 0,06).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Kaukasus-Region mit WHO-Partner, aber begrenzte Übertragbarkeit auf deutsches System ohne Impfregister.</w:t>
      </w:r>
    </w:p>
    <w:p>
      <w:r>
        <w:rPr>
          <w:color w:val="5A7D3A"/>
          <w:sz w:val="18"/>
        </w:rPr>
        <w:t>https://pubmed.ncbi.nlm.nih.gov/42640914/</w:t>
      </w:r>
    </w:p>
    <w:p>
      <w:pPr>
        <w:pStyle w:val="Heading2"/>
      </w:pPr>
      <w:r>
        <w:t>Impfquote bei 24-Monate-Alten in Italien von 92,75 % auf 94,57 % durch Reorganisation der Dienste</w:t>
      </w:r>
    </w:p>
    <w:p>
      <w:r>
        <w:rPr>
          <w:i/>
          <w:color w:val="666666"/>
          <w:sz w:val="18"/>
        </w:rPr>
        <w:t>Scala A et al.  ·  Front Public Health  ·  10.08.2026  ·  PMID 42638716</w:t>
      </w:r>
    </w:p>
    <w:p>
      <w:r>
        <w:t>Qualitäts-Verbesserungsprojekt in ASL Napoli 3 Sud 2022–2024 mit M.A.S.T.E.R.-Framework: Wie ließ sich die gefallene Abdeckung von Primärserien wieder heben?</w:t>
      </w:r>
    </w:p>
    <w:p>
      <w:r>
        <w:rPr>
          <w:b/>
        </w:rPr>
        <w:t xml:space="preserve">Ergebnis: </w:t>
      </w:r>
      <w:r>
        <w:t>Quote 2023: 92,75 % (Rückgang von 94,57 % 2022). Nach Interventionen (standardisierte Erinnerungen, digitale Kalender, Schulung, Logistik-Überprüfung): 2024 → 94,57 % (+1,82 Pp.). Erinnerungen stiegen von 1.248 auf 2.136, vollendete Nachholtermine von 286 auf 612. Pädiater-Kooperation von 54,2 % auf 87,3 %.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südeuropäisches Sozialversicherungssystem, Dokumentation ähnlich Deutschland-Anforderungen.</w:t>
      </w:r>
    </w:p>
    <w:p>
      <w:r>
        <w:rPr>
          <w:color w:val="5A7D3A"/>
          <w:sz w:val="18"/>
        </w:rPr>
        <w:t>https://pubmed.ncbi.nlm.nih.gov/42638716/</w:t>
      </w:r>
    </w:p>
    <w:p>
      <w:pPr>
        <w:pStyle w:val="Heading2"/>
      </w:pPr>
      <w:r>
        <w:t>Schwangere in Gambia: Lücken beim COVID-19-Impfstoffzugang trotz neuer Leitlinien</w:t>
      </w:r>
    </w:p>
    <w:p>
      <w:r>
        <w:rPr>
          <w:i/>
          <w:color w:val="666666"/>
          <w:sz w:val="18"/>
        </w:rPr>
        <w:t>Nkereuwem O et al.  ·  BMJ Open  ·  20.08.2026  ·  PMID 42624601</w:t>
      </w:r>
    </w:p>
    <w:p>
      <w:r>
        <w:t>Qualitative Studie in Gambia mit 15 Fachpersonen und 29 Workshop-Teilnehmenden: Welche Barrieren verhindern, dass Schwangere COVID-19-Impfstoffe erhalten?</w:t>
      </w:r>
    </w:p>
    <w:p>
      <w:r>
        <w:rPr>
          <w:b/>
        </w:rPr>
        <w:t xml:space="preserve">Ergebnis: </w:t>
      </w:r>
      <w:r>
        <w:t>Evolvierende Sicherheitsleitlinien minderten Beratungsvertrauen und verstärkten Vaccine Hesitancy. Fragmentierte Dienste (nicht in Schwangerenvorsorge integriert), schwache Dokumentation von Nebenwirkungen und Misinformation waren Kernprobleme. Strategien: frühe Schulung, Koordination über Berufsgruppen, gestärkte Logistik und Sicherheitsmeldung.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aber Befunde zu systemischer Fragmentierung relevant für Integrationsfragen.</w:t>
      </w:r>
    </w:p>
    <w:p>
      <w:r>
        <w:rPr>
          <w:color w:val="5A7D3A"/>
          <w:sz w:val="18"/>
        </w:rPr>
        <w:t>https://pubmed.ncbi.nlm.nih.gov/42624601/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Hochdosis-Grippeimpfstoff senkte Krankenhauseinweisungen bei Altenheimbewohnern um 31 Prozent</w:t>
      </w:r>
    </w:p>
    <w:p>
      <w:r>
        <w:rPr>
          <w:i/>
          <w:color w:val="666666"/>
          <w:sz w:val="18"/>
        </w:rPr>
        <w:t>Bricout H et al.  ·  Age Ageing  ·  03.08.2026  ·  PMID 42632918</w:t>
      </w:r>
    </w:p>
    <w:p>
      <w:r>
        <w:t>Französische Kohortenstudie verglich Wirksamkeit von Hochdosis- versus Standarddosis-Grippeimpfstoff gegen grippebedingte Krankenhauseinweisungen bei Bewohnern von Altenpflegeeinrichtungen (2022–2023).</w:t>
      </w:r>
    </w:p>
    <w:p>
      <w:r>
        <w:rPr>
          <w:b/>
        </w:rPr>
        <w:t xml:space="preserve">Ergebnis: </w:t>
      </w:r>
      <w:r>
        <w:t>Hochdosis-Impfstoff reduzierte grippebedingte Krankenhauseinweisungen um 30,8 % (95 % KI: 11,8–45,7 %; p = 0,0029), verglichen mit Standarddosis. Bei Pneumonie oder kombinierten Ergebnissen zeigte sich kein signifikanter Unterschied. Die Studie stützt bevorzugte Verwendung des Hochdosis-Impfstoffs in dieser Hochrisikogruppe.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vergleichbarem Sozialversicherungssystem und Langzeitpflege-Dokumentation wie Deutschland.</w:t>
      </w:r>
    </w:p>
    <w:p>
      <w:r>
        <w:rPr>
          <w:color w:val="5A7D3A"/>
          <w:sz w:val="18"/>
        </w:rPr>
        <w:t>https://pubmed.ncbi.nlm.nih.gov/42632918/</w:t>
      </w:r>
    </w:p>
    <w:p>
      <w:pPr>
        <w:pStyle w:val="Heading1"/>
      </w:pPr>
      <w:r>
        <w:t>Aufgenommen am 22.08.2026</w:t>
      </w:r>
    </w:p>
    <w:p>
      <w:pPr>
        <w:pStyle w:val="Heading2"/>
      </w:pPr>
      <w:r>
        <w:t>HPV-Impfung senkt Häufigkeit von Larynx- und Bindehautpapillomen in Dänemark</w:t>
      </w:r>
    </w:p>
    <w:p>
      <w:r>
        <w:rPr>
          <w:i/>
          <w:color w:val="666666"/>
          <w:sz w:val="18"/>
        </w:rPr>
        <w:t>Aakilde M et al.  ·  APMIS  ·  Aug. 2026  ·  PMID 42619272</w:t>
      </w:r>
    </w:p>
    <w:p>
      <w:r>
        <w:t>Register-Studie: 33 juvenile Larynx-, 134 Bindehautpapillom-Patienten 2005–2024 mit HPV-Subtypisierung und Impfstatus-Abfrage.</w:t>
      </w:r>
    </w:p>
    <w:p>
      <w:r>
        <w:rPr>
          <w:b/>
        </w:rPr>
        <w:t xml:space="preserve">Ergebnis: </w:t>
      </w:r>
      <w:r>
        <w:t>Larynxpapillom-Inzidenz sank von 0,190 pro 100.000 (2005–2013) auf 0,107 (2014–2024), nicht signifikant (p=0,145); keine Fälle bei geimpften Müttern. Bindehautpapillom-Inzidenz sank signifikant um 5,3 % pro Jahr (p=0,002). HPV-6/-11 in 74,1 % nachgewiesen. Studie zeigt Schutzeffekt des Impfprogramms auf Bindehautpapillome, juvenile Larynxpapillome bleiben selten und nur bei ungeimpften Müttern.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nationales Register, vergleichbare nordeuropäische Impfpraxis</w:t>
      </w:r>
    </w:p>
    <w:p>
      <w:r>
        <w:rPr>
          <w:color w:val="5A7D3A"/>
          <w:sz w:val="18"/>
        </w:rPr>
        <w:t>https://pubmed.ncbi.nlm.nih.gov/42619272/</w:t>
      </w:r>
    </w:p>
    <w:p>
      <w:pPr>
        <w:pStyle w:val="Heading2"/>
      </w:pPr>
      <w:r>
        <w:t>Hepatitis-B-Impfquoten bei trans und nicht-binären Menschen in Deutschland: Wer bleibt ungeimpft?</w:t>
      </w:r>
    </w:p>
    <w:p>
      <w:r>
        <w:rPr>
          <w:i/>
          <w:color w:val="666666"/>
          <w:sz w:val="18"/>
        </w:rPr>
        <w:t>Biallas R et al.  ·  BMC Public Health  ·  11.08.2026  ·  PMID 42576212</w:t>
      </w:r>
    </w:p>
    <w:p>
      <w:r>
        <w:t>Online-Survey von 2.358 trans und nicht-binären Personen zu Hepatitis-B-Diagnosen und Impfstatus, RKI-Studie.</w:t>
      </w:r>
    </w:p>
    <w:p>
      <w:r>
        <w:rPr>
          <w:b/>
        </w:rPr>
        <w:t xml:space="preserve">Ergebnis: </w:t>
      </w:r>
      <w:r>
        <w:t>HBV-Prävalenz 0,6 %, Impfquote 56,3 %. Quote höher bei Personen auf dem männlichen Spektrum (PR 1,29) als weiblich/nicht-binär; höher mit Hochschulbildung (PR 1,44) und in Großstädten (PR 1,22). 550 (21,7 %) waren impfempfohlen; von 213 mit negativem Impfstatus waren 65 % unter 30 und hätten Routine-Impfung erhalten sollen. Wissenslücken zu Hepatitis als Hauptprädiktor für niedrige Quote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RKI-Studie, deutsche Hochrisikopopulation; Ungleichheit nach Bildung, Geschlechtsidentität und Urbanisierung</w:t>
      </w:r>
    </w:p>
    <w:p>
      <w:r>
        <w:rPr>
          <w:color w:val="5A7D3A"/>
          <w:sz w:val="18"/>
        </w:rPr>
        <w:t>https://pubmed.ncbi.nlm.nih.gov/42576212/</w:t>
      </w:r>
    </w:p>
    <w:p>
      <w:pPr>
        <w:pStyle w:val="Heading1"/>
      </w:pPr>
      <w:r>
        <w:t>Aufgenommen am 21.08.2026</w:t>
      </w:r>
    </w:p>
    <w:p>
      <w:pPr>
        <w:pStyle w:val="Heading2"/>
      </w:pPr>
      <w:r>
        <w:t>MenACWY-Impfung und Meningokokken-Carriage bei Studierenden: Wirksamkeitsevidenz aus Carriage-Monitoring</w:t>
      </w:r>
    </w:p>
    <w:p>
      <w:r>
        <w:rPr>
          <w:i/>
          <w:color w:val="666666"/>
          <w:sz w:val="18"/>
        </w:rPr>
        <w:t>Harvey-Cowlishaw T et al.  ·  Front Public Health  ·  05.08.2026  ·  PMID 42621093</w:t>
      </w:r>
    </w:p>
    <w:p>
      <w:r>
        <w:t>Querschnittstudie (September + November 2024) an 400 Studierenden einer UK-Universität mit Keimkultur/PCR und Vollgenomsequenzierung von Meningokokken-Carriern.</w:t>
      </w:r>
    </w:p>
    <w:p>
      <w:r>
        <w:rPr>
          <w:b/>
        </w:rPr>
        <w:t xml:space="preserve">Ergebnis: </w:t>
      </w:r>
      <w:r>
        <w:t>Carriage-Rate Sepember 12,5 %, November 25,3 % (p&lt;0,05). Genogruppe C: null Isolate (100 % Reduktion durch MenACWY-Vakzinierung). Genogruppe Y: null verkappselte Isolate in dieser Kohorte, konsistent mit Impfeffektivität. Genogruppe B: 34,3 % (multipler Clonal Complex, teils hyperinvasiv). MenACWY schützt Studierende effektiv vor W/Y-Carriage; Genogruppe B bleibt 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Kariologie-Surveillance, vergleichbare adoleszente Impfprogramme</w:t>
      </w:r>
    </w:p>
    <w:p>
      <w:r>
        <w:rPr>
          <w:color w:val="5A7D3A"/>
          <w:sz w:val="18"/>
        </w:rPr>
        <w:t>https://pubmed.ncbi.nlm.nih.gov/42621093/</w:t>
      </w:r>
    </w:p>
    <w:p>
      <w:pPr>
        <w:pStyle w:val="Heading2"/>
      </w:pPr>
      <w:r>
        <w:t>Vorbuchte Impftermine für COVID-19: Burden-Vergleich und Wirkung auf Uptake-Intention</w:t>
      </w:r>
    </w:p>
    <w:p>
      <w:r>
        <w:rPr>
          <w:i/>
          <w:color w:val="666666"/>
          <w:sz w:val="18"/>
        </w:rPr>
        <w:t>Sanders JG et al.  ·  Vaccine  ·  30.08.2026  ·  PMID 42546637</w:t>
      </w:r>
    </w:p>
    <w:p>
      <w:r>
        <w:t>Formative Evaluationsstudie (Niederlande) in zwei Phasen – qualitativ (15 Interviews) und experimentell (n=1.886) – zur Wirkung von Vorbuchung vs. Selbstbuchung auf Impfintention.</w:t>
      </w:r>
    </w:p>
    <w:p>
      <w:r>
        <w:rPr>
          <w:b/>
        </w:rPr>
        <w:t xml:space="preserve">Ergebnis: </w:t>
      </w:r>
      <w:r>
        <w:t>Phase 1: Vorbuchung wurde als fürsorglich und auch als bevormundend wahrgenommen. Phase 2: Selbstbuchung wurde als weniger belastend wahrgenommen (β=−0,23, p&lt;0,05), führte aber nicht zu höherer Impfintention (aOR=1,11). Auch bei zögerlichen Personen kein Unterschied (aOR=0,88). Vorbuchung verändert COVID-19-Intention nicht – konservative Empfehlung: Selbstbuchung für bereits geimpfte Ältere.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(RIVM), vergleichbares Versicherungssystem und Impfinfrastruktur</w:t>
      </w:r>
    </w:p>
    <w:p>
      <w:r>
        <w:rPr>
          <w:color w:val="5A7D3A"/>
          <w:sz w:val="18"/>
        </w:rPr>
        <w:t>https://pubmed.ncbi.nlm.nih.gov/42546637/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Impfquoten in der Schwangerschaft in Deutschland 2004–2022: Was bleibt ungenutzt?</w:t>
      </w:r>
    </w:p>
    <w:p>
      <w:r>
        <w:rPr>
          <w:i/>
          <w:color w:val="666666"/>
          <w:sz w:val="18"/>
        </w:rPr>
        <w:t>Mulanje L et al.  ·  Sci Rep  ·  18.08.2026  ·  PMID 42613346</w:t>
      </w:r>
    </w:p>
    <w:p>
      <w:r>
        <w:t>Eine Analyse von über 2,8 Mio. Schwangerschaften in deutschen Krankenkassendaten zeigte, wie sich Impfquoten in der Schwangerschaft entwickelten.</w:t>
      </w:r>
    </w:p>
    <w:p>
      <w:r>
        <w:rPr>
          <w:b/>
        </w:rPr>
        <w:t xml:space="preserve">Ergebnis: </w:t>
      </w:r>
      <w:r>
        <w:t>Influenza-Impfquote bei Schwangeren stieg von 2 % (2004–2009) auf 19 % (2020–2022), Pertussis von 3 % (2015–2019) auf 37 % (2020–2022). Weniger als 50 % der empfohlenen Schwangerschaftsimpfungen wurden durchgeführt; Gründe bleiben unklar. Etwa 0,3 % erhielten kontraindizierte Lebendimpfstoffe.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 mit vollständiger Erfassung, direkt übertragbar auf deutsches Versorgungssystem.</w:t>
      </w:r>
    </w:p>
    <w:p>
      <w:r>
        <w:rPr>
          <w:color w:val="5A7D3A"/>
          <w:sz w:val="18"/>
        </w:rPr>
        <w:t>https://pubmed.ncbi.nlm.nih.gov/42613346/</w:t>
      </w:r>
    </w:p>
    <w:p>
      <w:pPr>
        <w:pStyle w:val="Heading2"/>
      </w:pPr>
      <w:r>
        <w:t>HPV-Impfung für Adoleszente: Verhaltenswissenschaftliche Entwicklung einer Intervention (15–17 Jahre)</w:t>
      </w:r>
    </w:p>
    <w:p>
      <w:r>
        <w:rPr>
          <w:i/>
          <w:color w:val="666666"/>
          <w:sz w:val="18"/>
        </w:rPr>
        <w:t>Flood T et al.  ·  PLoS One  ·  14.08.2026  ·  PMID 42599892</w:t>
      </w:r>
    </w:p>
    <w:p>
      <w:r>
        <w:t>Qualitative Studie mit fokussierten Interviews (Impfschwestern n=26, Schüler n=34, Lehrer/Schulnursen n=18) zur Entwicklung eines theoriegestützten HPV-Interventionsangebots.</w:t>
      </w:r>
    </w:p>
    <w:p>
      <w:r>
        <w:rPr>
          <w:b/>
        </w:rPr>
        <w:t xml:space="preserve">Ergebnis: </w:t>
      </w:r>
      <w:r>
        <w:t>Systematische Übersicht fand Mangel an Interventionen für diese Altersgruppe. Identifiziert wurden 12 Barrieren für drei Zielverhalten (Schülerentscheidung, Professionalisierung, öffentliche Akzeptanz). Entwickelte Intervention: schulgestützte HPV-Bildung mit Impfangebot, öffentliche Medienkampagne; Erfolg hängt von Unterstützung durch Behörden und Lehrplanintegration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Nordirland, ähnliche schulbasierte Impfstrukturen wie Deutschland, Barrier-Identifizierung übertragbar.</w:t>
      </w:r>
    </w:p>
    <w:p>
      <w:r>
        <w:rPr>
          <w:color w:val="5A7D3A"/>
          <w:sz w:val="18"/>
        </w:rPr>
        <w:t>https://pubmed.ncbi.nlm.nih.gov/42599892/</w:t>
      </w:r>
    </w:p>
    <w:p>
      <w:pPr>
        <w:pStyle w:val="Heading2"/>
      </w:pPr>
      <w:r>
        <w:t>COVID-19-Sterblichkeit bei Menschen mit schweren psychischen Erkrankungen: Übersterblichkeit trotz Impfung</w:t>
      </w:r>
    </w:p>
    <w:p>
      <w:r>
        <w:rPr>
          <w:i/>
          <w:color w:val="666666"/>
          <w:sz w:val="18"/>
        </w:rPr>
        <w:t>Chilman N et al.  ·  Lancet Psychiatry  ·  Sept. 2026  ·  PMID 42586081</w:t>
      </w:r>
    </w:p>
    <w:p>
      <w:r>
        <w:t>Gesamtbevölkerungsstudie in England (n=13.463.945 COVID-19-Fälle, davon 1,19 % mit schwerer psychischer Erkrankung) auf Mortalität über drei Pandemiephasen mit unterschiedlichem Impfzugang.</w:t>
      </w:r>
    </w:p>
    <w:p>
      <w:r>
        <w:rPr>
          <w:b/>
        </w:rPr>
        <w:t xml:space="preserve">Ergebnis: </w:t>
      </w:r>
      <w:r>
        <w:t>Übersterblichkeit bei schwerer psychischer Erkrankung: aHR 1,56 (95%-KI 1,53–1,59). In Phase 1 (vor Impfung): aHR 1,27; Phase 2 (Impfstart): aHR 1,56; Phase 3 (nach Impfung): aHR 1,55. Impfquoten initial höher (73,2 % vs. 67,4 %), am Ende aber niedriger (79,4 % vs. 87,2 %). Impfung minderte Risiko nur partiell (aHR 1,25, 95%-KI 1,17–1,34).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England-Gesamtbevölkerung, nationales Gesundheitssystem wie Deutschland, Ungleichheitsfrage zentral.</w:t>
      </w:r>
    </w:p>
    <w:p>
      <w:r>
        <w:rPr>
          <w:color w:val="5A7D3A"/>
          <w:sz w:val="18"/>
        </w:rPr>
        <w:t>https://pubmed.ncbi.nlm.nih.gov/42586081/</w:t>
      </w:r>
    </w:p>
    <w:p>
      <w:pPr>
        <w:pStyle w:val="Heading1"/>
      </w:pPr>
      <w:r>
        <w:t>Aufgenommen am 19.08.2026</w:t>
      </w:r>
    </w:p>
    <w:p>
      <w:pPr>
        <w:pStyle w:val="Heading2"/>
      </w:pPr>
      <w:r>
        <w:t>Psychisches Wohlbefinden und COVID-19-Impfquote: 2,68-fach höherer Impfanteil bei hohem CASP-Wohlbefind</w:t>
      </w:r>
    </w:p>
    <w:p>
      <w:r>
        <w:rPr>
          <w:i/>
          <w:color w:val="666666"/>
          <w:sz w:val="18"/>
        </w:rPr>
        <w:t>Gao Y et al.  ·  Hum Vaccin Immunother  ·  18.08.2026  ·  PMID 42610257</w:t>
      </w:r>
    </w:p>
    <w:p>
      <w:r>
        <w:t>Prospektive Analyse von 29.597 europäischen Erwachsenen ≥50 Jahren (SHARE-Studie, 27 Länder + Israel) zur Assoziation zwischen psychischem Wohlbefinden (CASP-12-Skala) und COVID-19-Impfung, Infektion und Long COVID.</w:t>
      </w:r>
    </w:p>
    <w:p>
      <w:r>
        <w:rPr>
          <w:b/>
        </w:rPr>
        <w:t xml:space="preserve">Ergebnis: </w:t>
      </w:r>
      <w:r>
        <w:t>Personen mit höchster CASP-12-Punktzahl vs. niedrigster: OR für COVID-19-Impfung 2,68 (95%-KI 2,44–2,96). Reduktion von Long COVID um 23% (OR 0,77, 95%-KI 0,64–0,93). Kein signifikanter Effekt auf Infektionsrisiko (OR 0,87, 95%-KI 0,74–1,02). Höheres psychisches Wohlbefinden mit verbessertem Impfstatus und reduziertem Long-COVID-Risiko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27 europäische Länder, generalisierbar auf deutschsprachigen Raum</w:t>
      </w:r>
    </w:p>
    <w:p>
      <w:r>
        <w:rPr>
          <w:color w:val="5A7D3A"/>
          <w:sz w:val="18"/>
        </w:rPr>
        <w:t>https://pubmed.ncbi.nlm.nih.gov/42610257/</w:t>
      </w:r>
    </w:p>
    <w:p>
      <w:pPr>
        <w:pStyle w:val="Heading2"/>
      </w:pPr>
      <w:r>
        <w:t>Pädiater-Wissenlücken zur RSV-Immunisierung: 55,9% mit durchschnittlichem bis niedrigem Nirsevimab-Wissen</w:t>
      </w:r>
    </w:p>
    <w:p>
      <w:r>
        <w:rPr>
          <w:i/>
          <w:color w:val="666666"/>
          <w:sz w:val="18"/>
        </w:rPr>
        <w:t>Di Chiara C et al.  ·  PLoS One  ·  17.08.2026  ·  PMID 42607062</w:t>
      </w:r>
    </w:p>
    <w:p>
      <w:r>
        <w:t>Befragung von 578 Pädiatern (Rücklaufquote 19,3%) in Spanien, Italien und Zypern/Griechenland zu Wissen, Einstellungen und Barrieren bezüglich neuer RSV-Impfstrategen.</w:t>
      </w:r>
    </w:p>
    <w:p>
      <w:r>
        <w:rPr>
          <w:b/>
        </w:rPr>
        <w:t xml:space="preserve">Ergebnis: </w:t>
      </w:r>
      <w:r>
        <w:t>50% Spanien, 40% Italien, 10% Zypern/Griechenland. Nur 245 Befragte (55,9%) berichteten durchschnittliches bis niedriges Nirsevimab-Wissen, 375 (86,0%) zeigten gleiches für Mutterimpfstoff (p=0,002). Trotz Wissenslücken: 311 (85,9%) bereit, Nirsevimab zu verabreichen, 319 (92,2%) unterstützten es für alle Neugeborenen. Barrieren (20,0% genannt): Unbekannt und logistische Herausforderungen. 165 (47,4%) bevorzugten die Mutterimpfung gegenüber Nirsevimab.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aber spanische Erfahrung mit Nirsevimab bereits verfügbar</w:t>
      </w:r>
    </w:p>
    <w:p>
      <w:r>
        <w:rPr>
          <w:color w:val="5A7D3A"/>
          <w:sz w:val="18"/>
        </w:rPr>
        <w:t>https://pubmed.ncbi.nlm.nih.gov/42607062/</w:t>
      </w:r>
    </w:p>
    <w:p>
      <w:pPr>
        <w:pStyle w:val="Heading2"/>
      </w:pPr>
      <w:r>
        <w:t>HPV-Impfung und Schwangerschaftsergebnisse: Registerstudie zeigt keine erhöhten Fehlgeburtsrisiken</w:t>
      </w:r>
    </w:p>
    <w:p>
      <w:r>
        <w:rPr>
          <w:i/>
          <w:color w:val="666666"/>
          <w:sz w:val="18"/>
        </w:rPr>
        <w:t>Koivisto T et al.  ·  Eur J Public Health  ·  04.08.2026  ·  PMID 42586610</w:t>
      </w:r>
    </w:p>
    <w:p>
      <w:r>
        <w:t>Register-Follow-up von 20.426 HPV-geimpften und 19.473 ungeimpften Frauen (Finland, Geburtskohorte 1990-1995) über 11 Jahre zu frühen Schwangerschaftskomplikationen.</w:t>
      </w:r>
    </w:p>
    <w:p>
      <w:r>
        <w:rPr>
          <w:b/>
        </w:rPr>
        <w:t xml:space="preserve">Ergebnis: </w:t>
      </w:r>
      <w:r>
        <w:t>Fehlgeburtsquote in der geimpften Gruppe 1,6% versus 5,3% in der ungeimpften Kontrollgruppe (p&lt;0,0001). Keine zeitliche Assoziation zwischen Impfung und Fehlgeburten. Eileiterschwangerschaften waren selten und vergleichbar (0,6–1,0%). Bei Frauen mit Vorgeschichte von Komplikationen hatten 55,6% der Geimpften mindestens eine Lebendgeburt versus 70,3% der Ungeimpften. Die Impfung war nicht mit erhöhtem Fehlgeburts- oder anderem Schwangerschaftsrisiko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Register mit hoher Datenqualität</w:t>
      </w:r>
    </w:p>
    <w:p>
      <w:r>
        <w:rPr>
          <w:color w:val="5A7D3A"/>
          <w:sz w:val="18"/>
        </w:rPr>
        <w:t>https://pubmed.ncbi.nlm.nih.gov/42586610/</w:t>
      </w:r>
    </w:p>
    <w:p>
      <w:pPr>
        <w:pStyle w:val="Heading2"/>
      </w:pPr>
      <w:r>
        <w:t>Influenza-Impfeffektivität gegen Krankenhausaufnahmen: 46% Gesamtschutz in Nordirland 2024/25</w:t>
      </w:r>
    </w:p>
    <w:p>
      <w:r>
        <w:rPr>
          <w:i/>
          <w:color w:val="666666"/>
          <w:sz w:val="18"/>
        </w:rPr>
        <w:t>Bucholc M et al.  ·  Influenza Other Respir Viruses  ·  Aug. 2026  ·  PMID 42560010</w:t>
      </w:r>
    </w:p>
    <w:p>
      <w:r>
        <w:t>Test-Negativ-Design mit 2.024 influenzapositiven Fällen und 13.109 Kontrollen in 15.133 hospitalisierten Patienten zur Schätzung der Impfeffektivität gegen laborbestätigte Influenza.</w:t>
      </w:r>
    </w:p>
    <w:p>
      <w:r>
        <w:rPr>
          <w:b/>
        </w:rPr>
        <w:t xml:space="preserve">Ergebnis: </w:t>
      </w:r>
      <w:r>
        <w:t>Impfeffektivität gegen Influenza insgesamt 46,0% (95%-KI 39,7–51,8%), höher bei Kindern 2-17 Jahren (60,8%, 48,3–70,5%) als Erwachsenen 18-64 Jahren (40,5%, 24,9–53,2%) oder ≥65 Jahren (42,3%, 33,2–50,1%). Gegen Influenza-B: 76,4% (64,9–84,7%). Effektivität gegen A(H1) 44,3%, gegen A(H3) 49,9%. Die Wirksamkeit war höchsten 2-8 Wochen post-Impfung (51,9%) und nahm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vergleichbar mit deutschem Gesundheitssystem</w:t>
      </w:r>
    </w:p>
    <w:p>
      <w:r>
        <w:rPr>
          <w:color w:val="5A7D3A"/>
          <w:sz w:val="18"/>
        </w:rPr>
        <w:t>https://pubmed.ncbi.nlm.nih.gov/42560010/</w:t>
      </w:r>
    </w:p>
    <w:p>
      <w:pPr>
        <w:pStyle w:val="Heading2"/>
      </w:pPr>
      <w:r>
        <w:t>Impfluecken bei Kindern in Deutschland: Sozioökonomische Unterschiede und Rolle des Versorgungstyps</w:t>
      </w:r>
    </w:p>
    <w:p>
      <w:r>
        <w:rPr>
          <w:i/>
          <w:color w:val="666666"/>
          <w:sz w:val="18"/>
        </w:rPr>
        <w:t>Nussbaum C et al.  ·  BMC Med  ·  04.08.2026  ·  PMID 42557557</w:t>
      </w:r>
    </w:p>
    <w:p>
      <w:r>
        <w:t>Analyse von 430.000 Kindern aus Versicherungsdaten 2016-2019 zur Erfassung von Impfquoten und sozioökonomischen Gradienten bei von STIKO empfohlenen Impfungen.</w:t>
      </w:r>
    </w:p>
    <w:p>
      <w:r>
        <w:rPr>
          <w:b/>
        </w:rPr>
        <w:t xml:space="preserve">Ergebnis: </w:t>
      </w:r>
      <w:r>
        <w:t>Etwa 80% der empfohlenen Impfserien waren vollständig und rechtzeitig durchgeführt. Ein kleiner, aber signifikanter sozioökonomischer Gradient zugunsten höherer Einkommen zeigte sich (Konzentrationsindex 0,024). Der Anbietertyp erklärt den größten Teil des Gradienten: Hausarztpraxen hatten niedrigere Abschlussquoten als Kinderarztpraxen. Reisezeit trug weniger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Krankenkassendaten, vergleichbare Dokumentationspflichten</w:t>
      </w:r>
    </w:p>
    <w:p>
      <w:r>
        <w:rPr>
          <w:color w:val="5A7D3A"/>
          <w:sz w:val="18"/>
        </w:rPr>
        <w:t>https://pubmed.ncbi.nlm.nih.gov/42557557/</w:t>
      </w:r>
    </w:p>
    <w:p>
      <w:pPr>
        <w:pStyle w:val="Heading2"/>
      </w:pPr>
      <w:r>
        <w:t>Keuchhusten-Impfeffektivität im Säuglingsalter in den Niederlanden: 98,2% Schutz bei vollständiger Impfung</w:t>
      </w:r>
    </w:p>
    <w:p>
      <w:r>
        <w:rPr>
          <w:i/>
          <w:color w:val="666666"/>
          <w:sz w:val="18"/>
        </w:rPr>
        <w:t>van Meijeren DL et al.  ·  Vaccine  ·  13.08.2026  ·  PMID 42526173</w:t>
      </w:r>
    </w:p>
    <w:p>
      <w:r>
        <w:t>Fall-Kontroll-Studie mit 1.156 Fällen und 4.624 Kontrollen (laborbestätigt, 12-35 Monate, 2013-2024) zur Wirksamkeit der Grundimmunisierung gegen Pertussis.</w:t>
      </w:r>
    </w:p>
    <w:p>
      <w:r>
        <w:rPr>
          <w:b/>
        </w:rPr>
        <w:t xml:space="preserve">Ergebnis: </w:t>
      </w:r>
      <w:r>
        <w:t>Gesamteffektivität 98,2% (95%-KI 97,6–98,6) bei vollständiger Impfung. Wirksamkeit nahm mit der Zeit seit Impfung ab (p&lt;0,001): 51,9% zwei bis acht Wochen nach Impfung, 44,6% nach 9-16 Wochen, 41,4% nach ≥16 Wochen. Höhere Effektivität bei Kindern 2-17 Jahre (60,8%) als bei Erwachsenen 18-64 Jahre (40,5%) oder ≥65 Jahre (42,3%).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und Vakzine</w:t>
      </w:r>
    </w:p>
    <w:p>
      <w:r>
        <w:rPr>
          <w:color w:val="5A7D3A"/>
          <w:sz w:val="18"/>
        </w:rPr>
        <w:t>https://pubmed.ncbi.nlm.nih.gov/42526173/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2026-08-26T06:00:00Z</dcterms:created>
  <dcterms:modified xsi:type="dcterms:W3CDTF">2026-08-26T06:00:00Z</dcterms:modified>
  <cp:category/>
</cp:coreProperties>
</file>