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22.09.2026  |  5 Studien  |  impfen.m-vf.de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Impfbelastung bei Kindern senken: Leitlinie 2026 zu Schmerz und Angst</w:t>
      </w:r>
    </w:p>
    <w:p>
      <w:r>
        <w:rPr>
          <w:i/>
          <w:color w:val="666666"/>
          <w:sz w:val="18"/>
        </w:rPr>
        <w:t>Taddio A et al.  ·  CMAJ  ·  20.09.2026  ·  PMID 42767684</w:t>
      </w:r>
    </w:p>
    <w:p>
      <w:r>
        <w:t>Systematische Übersichtsarbeiten zu 16 evidenzgestützten Empfehlungen gegen Impfangst und Schmerzen in fünf Domänen (Prozess, Technik, Körperlage, Medikament, Psychologie).</w:t>
      </w:r>
    </w:p>
    <w:p>
      <w:r>
        <w:rPr>
          <w:b/>
        </w:rPr>
        <w:t xml:space="preserve">Ergebnis: </w:t>
      </w:r>
      <w:r>
        <w:t>7 starke Empfehlungen mit moderater bis hoher Evidenz (z. B. mehrkomponentige Prozessinterventionen, orale Ernährung für Säuglinge); 9 bedingte Empfehlungen bei niedriger Evidenz. Empfehlungen zielgruppenspezifisch für Fachpersonen, Impflinge und Angehörige.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GRADE-Methodik, Impfpraxis in Hocheinkommensländern.</w:t>
      </w:r>
    </w:p>
    <w:p>
      <w:r>
        <w:rPr>
          <w:color w:val="5A7D3A"/>
          <w:sz w:val="18"/>
        </w:rPr>
        <w:t>https://pubmed.ncbi.nlm.nih.gov/42767684/</w:t>
      </w:r>
    </w:p>
    <w:p>
      <w:pPr>
        <w:pStyle w:val="Heading2"/>
      </w:pPr>
      <w:r>
        <w:t>HPV-Impfbereitschaft bei Frauen in Sierra Leone: hohe Akzeptanz trotz Wissenslücken</w:t>
      </w:r>
    </w:p>
    <w:p>
      <w:r>
        <w:rPr>
          <w:i/>
          <w:color w:val="666666"/>
          <w:sz w:val="18"/>
        </w:rPr>
        <w:t>Everman S et al.  ·  J Health Care Poor Underserved  ·  2026  ·  PMID 42766516</w:t>
      </w:r>
    </w:p>
    <w:p>
      <w:r>
        <w:t>Querschnittsstudie zur Akzeptanz der HPV-Impfung bei 189 Frauen in ländlichen und städtischen Gegenden Sierra Leones, untersucht Wissen über Gebärmutterhalskrebs und Impfverhalten.</w:t>
      </w:r>
    </w:p>
    <w:p>
      <w:r>
        <w:rPr>
          <w:b/>
        </w:rPr>
        <w:t xml:space="preserve">Ergebnis: </w:t>
      </w:r>
      <w:r>
        <w:t>Geringe Awareness für Gebärmutterhalskrebs und HPV-Impfung. Breite Willingness zur Impfung. Statistisch signifikante positive Assoziation zwischen formaler Bildung und Impfbereitschaft (p &lt; 0,01). Starke Präferenz für Schulmedizin.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Wenig entwickelte Region, Impfakzeptanz ist Ausgangspunkt für Programmentwicklung.</w:t>
      </w:r>
    </w:p>
    <w:p>
      <w:r>
        <w:rPr>
          <w:color w:val="5A7D3A"/>
          <w:sz w:val="18"/>
        </w:rPr>
        <w:t>https://pubmed.ncbi.nlm.nih.gov/42766516/</w:t>
      </w:r>
    </w:p>
    <w:p>
      <w:pPr>
        <w:pStyle w:val="Heading2"/>
      </w:pPr>
      <w:r>
        <w:t>Saisonimpfung vor A(H5)-Impfung: marginal additivem Nutzen gegen pandemisches H5N1-Risiko</w:t>
      </w:r>
    </w:p>
    <w:p>
      <w:r>
        <w:rPr>
          <w:i/>
          <w:color w:val="666666"/>
          <w:sz w:val="18"/>
        </w:rPr>
        <w:t>Hatta M et al.  ·  Emerg Microbes Infect  ·  21.09.2026  ·  PMID 42765371</w:t>
      </w:r>
    </w:p>
    <w:p>
      <w:r>
        <w:t>Maus- und Frettchen-Modellstudie mit pandemischen H5N1-Viren (Klade 2.3.4.4b) zur Frage, ob saisonale Influenza-Impfung vor A(H5)-Impfung die Schutzwirkung verbessert.</w:t>
      </w:r>
    </w:p>
    <w:p>
      <w:r>
        <w:rPr>
          <w:b/>
        </w:rPr>
        <w:t xml:space="preserve">Ergebnis: </w:t>
      </w:r>
      <w:r>
        <w:t>Saisonale Impfung induzierte keine Antikörper gegen A(H5). Saisonale Impfung vor A(H5)-Impfung war in 1 von 3 Maus-Experimenten mit besseren Outcomes assoziiert, nicht aber in den anderen 2 Maus-Experimenten oder bei Frettchen. Begrenzte additive Vorteile.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Präklinische Modelle, Pandemiebereitscha Deutschland für Ressourcenpriorisierung.</w:t>
      </w:r>
    </w:p>
    <w:p>
      <w:r>
        <w:rPr>
          <w:color w:val="5A7D3A"/>
          <w:sz w:val="18"/>
        </w:rPr>
        <w:t>https://pubmed.ncbi.nlm.nih.gov/42765371/</w:t>
      </w:r>
    </w:p>
    <w:p>
      <w:pPr>
        <w:pStyle w:val="Heading2"/>
      </w:pPr>
      <w:r>
        <w:t>Influenza- und Pneumokokken-Impfungen in Südafrika 2017–2021: COVID-19 beeinflusste Versorgungsmuster</w:t>
      </w:r>
    </w:p>
    <w:p>
      <w:r>
        <w:rPr>
          <w:i/>
          <w:color w:val="666666"/>
          <w:sz w:val="18"/>
        </w:rPr>
        <w:t>Truter I et al.  ·  Pharmacoepidemiol Drug Saf  ·  Okt. 2026  ·  PMID 42764173</w:t>
      </w:r>
    </w:p>
    <w:p>
      <w:r>
        <w:t>Longitudinale pharmakoepidemiologische Studie zu Abgabemengen von Influenza- und Pneumokokken-Impfstoffen in privaten Krankenversicherungsdaten Südafrikas (3,8 Mio. Versicherte).</w:t>
      </w:r>
    </w:p>
    <w:p>
      <w:r>
        <w:rPr>
          <w:b/>
        </w:rPr>
        <w:t xml:space="preserve">Ergebnis: </w:t>
      </w:r>
      <w:r>
        <w:t>Jährliche Abgabemuster unterschieden sich signifikant (p &lt; 0,01), Influenza-Impfung hauptsächlich März–Juni. Post-COVID-19 (2020–2021): signifikant mehr Influenza-Impfungen März–Juni (p &lt; 0,01), leichte Zunahme Pneumokokken-Impfungen (p &lt; 0,05). COVID-19-Impfung hatte insgesamt keinen signifikanten Effekt auf die 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Versicherungsdaten, Versorgungsrealität im Privatsektor.</w:t>
      </w:r>
    </w:p>
    <w:p>
      <w:r>
        <w:rPr>
          <w:color w:val="5A7D3A"/>
          <w:sz w:val="18"/>
        </w:rPr>
        <w:t>https://pubmed.ncbi.nlm.nih.gov/42764173/</w:t>
      </w:r>
    </w:p>
    <w:p>
      <w:pPr>
        <w:pStyle w:val="Heading2"/>
      </w:pPr>
      <w:r>
        <w:t>Influenza-Impfeffektivität bei Kindern in der Primärversorgung: 79 % Schutz vor laborbestätigter Erkrankung</w:t>
      </w:r>
    </w:p>
    <w:p>
      <w:r>
        <w:rPr>
          <w:i/>
          <w:color w:val="666666"/>
          <w:sz w:val="18"/>
        </w:rPr>
        <w:t>Barretta M et al.  ·  Clin Microbiol Infect  ·  11.07.2026  ·  PMID 42435855</w:t>
      </w:r>
    </w:p>
    <w:p>
      <w:r>
        <w:t>Multizenterstudie unter italienischen Kinderärzten zur Influenza-Impfeffektivität in der ambulanten Versorgung während der Saison 2024/2025.</w:t>
      </w:r>
    </w:p>
    <w:p>
      <w:r>
        <w:rPr>
          <w:b/>
        </w:rPr>
        <w:t xml:space="preserve">Ergebnis: </w:t>
      </w:r>
      <w:r>
        <w:t>79 % Reduktion von laborbestätigter Influenza bei geimpften vs. ungeimpften Kindern (95%-KI: 70–86 %). Kohorten-Analyse zeigte 76 % VE (95%-KI: 67–82 %). Effektivität konsistent für unterschiedliche Impfstofftypen und Testmethoden. Kein Schutz vor nicht-influenzabedingten Atemwegsinfekten.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pädiatrische Versorgungsstrukturen, Praxisdaten.</w:t>
      </w:r>
    </w:p>
    <w:p>
      <w:r>
        <w:rPr>
          <w:color w:val="5A7D3A"/>
          <w:sz w:val="18"/>
        </w:rPr>
        <w:t>https://pubmed.ncbi.nlm.nih.gov/42435855/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