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21.10.2026  |  354 Studien  |  impfen.m-vf.de</w:t>
      </w:r>
    </w:p>
    <w:p>
      <w:pPr>
        <w:pStyle w:val="Heading1"/>
      </w:pPr>
      <w:r>
        <w:t>Aufgenommen am 21.10.2026</w:t>
      </w:r>
    </w:p>
    <w:p>
      <w:pPr>
        <w:pStyle w:val="Heading2"/>
      </w:pPr>
      <w:r>
        <w:t>Einführung der Einfachdosis-HPV-Impfung in Kanada</w:t>
      </w:r>
    </w:p>
    <w:p>
      <w:r>
        <w:rPr>
          <w:i/>
          <w:color w:val="666666"/>
          <w:sz w:val="18"/>
        </w:rPr>
        <w:t>Leggatt M et al.  ·  Hum Vaccin Immunother  ·  20.10.2026  ·  PMID 42899377</w:t>
      </w:r>
    </w:p>
    <w:p>
      <w:r>
        <w:t>Analyse von Implementierungshürden und -chancen beim Übergang zu Einfachdosis-HPV-Impfschema für Jugendliche in kanadischen Provinzen.</w:t>
      </w:r>
    </w:p>
    <w:p>
      <w:r>
        <w:rPr>
          <w:b/>
        </w:rPr>
        <w:t xml:space="preserve">Ergebnis: </w:t>
      </w:r>
      <w:r>
        <w:t>Schlüsselfaktoren für Erfolg: transparente Kommunikation zur Begründung der Schemaänderung, ausreichende Vorbereitung von Fachleuten und Impfpersonal, Elterninformation sowie robuste Catch-up-Programme und gezielte Aufsuchung für Risikogruppen. Ohne diese Maßnahmen droht Vertrauensverlust und ungleiche Impfquoten.</w:t>
      </w:r>
    </w:p>
    <w:p>
      <w:r>
        <w:rPr>
          <w:b/>
          <w:sz w:val="19"/>
        </w:rPr>
        <w:t xml:space="preserve">Übertragbarkeit: </w:t>
      </w:r>
      <w:r>
        <w:rPr>
          <w:sz w:val="19"/>
        </w:rPr>
        <w:t>Kanada, vergleichbares öffentliches Impfwesen; Schemaänderungen gelten europaweit.</w:t>
      </w:r>
    </w:p>
    <w:p>
      <w:r>
        <w:rPr>
          <w:color w:val="5A7D3A"/>
          <w:sz w:val="18"/>
        </w:rPr>
        <w:t>https://pubmed.ncbi.nlm.nih.gov/42899377/</w:t>
      </w:r>
    </w:p>
    <w:p>
      <w:pPr>
        <w:pStyle w:val="Heading2"/>
      </w:pPr>
      <w:r>
        <w:t>Politische Polarisierung senkt Impfquoten bei Kindern in US-Bundesstaaten</w:t>
      </w:r>
    </w:p>
    <w:p>
      <w:r>
        <w:rPr>
          <w:i/>
          <w:color w:val="666666"/>
          <w:sz w:val="18"/>
        </w:rPr>
        <w:t>Lin W et al.  ·  BMC Public Health  ·  23.07.2026  ·  PMID 42897547</w:t>
      </w:r>
    </w:p>
    <w:p>
      <w:r>
        <w:t>Querschnittsökologie mit Bundesstaaten-Paneldaten 2014–2024: Zusammenhang zwischen republikanischem Wählerstimmenanteil und Masernimpfquoten nach Kontrolle für Bildung und Einkommen.</w:t>
      </w:r>
    </w:p>
    <w:p>
      <w:r>
        <w:rPr>
          <w:b/>
        </w:rPr>
        <w:t xml:space="preserve">Ergebnis: </w:t>
      </w:r>
      <w:r>
        <w:t>Bundesstaaten mit höherem republikanischem Wahlanteil hatten niedrigere MMR-Quoten (−10,9%-Punkte pro 10%-Punkte Anstieg, 95%-KI −16,69 bis −5,10; p&lt;0,001). Persistenzanalyse mit Bundesstaaten konstanter Wahlausrichtung über vier Wahlen verstärkte den Befund (b=−14,30, p&lt;0,001). Effekt verstärkte sich zeitlich nicht; Bildungsschicht und Politik interagierten nicht.</w:t>
      </w:r>
    </w:p>
    <w:p>
      <w:r>
        <w:rPr>
          <w:b/>
          <w:sz w:val="19"/>
        </w:rPr>
        <w:t xml:space="preserve">Übertragbarkeit: </w:t>
      </w:r>
      <w:r>
        <w:rPr>
          <w:sz w:val="19"/>
        </w:rPr>
        <w:t>USA mit anderer Systemfinanzierung; Befund zur politischen Polarisierung als Impfquoten-Prediktor dennoch übertragbar.</w:t>
      </w:r>
    </w:p>
    <w:p>
      <w:r>
        <w:rPr>
          <w:color w:val="5A7D3A"/>
          <w:sz w:val="18"/>
        </w:rPr>
        <w:t>https://pubmed.ncbi.nlm.nih.gov/42897547/</w:t>
      </w:r>
    </w:p>
    <w:p>
      <w:pPr>
        <w:pStyle w:val="Heading2"/>
      </w:pPr>
      <w:r>
        <w:t>Absichts-Umsetzungs-Lücke bei HPV-Impfung in türkischer Frauenklinik</w:t>
      </w:r>
    </w:p>
    <w:p>
      <w:r>
        <w:rPr>
          <w:i/>
          <w:color w:val="666666"/>
          <w:sz w:val="18"/>
        </w:rPr>
        <w:t>Öncü E et al.  ·  BMC Public Health  ·  24.07.2026  ·  PMID 42897523</w:t>
      </w:r>
    </w:p>
    <w:p>
      <w:r>
        <w:t>Querschnittstudie an 305 Frauen (Mittel 38 Jahre) in einer Gynäkologieklinik Istanbul: Erfassung von HPV-Wissen, Einstellungen, Absicht zu impfen und tatsächliche Inanspruchnahme.</w:t>
      </w:r>
    </w:p>
    <w:p>
      <w:r>
        <w:rPr>
          <w:b/>
        </w:rPr>
        <w:t xml:space="preserve">Ergebnis: </w:t>
      </w:r>
      <w:r>
        <w:t>Wissens-Score 7,25±1,65 (0–10); 36,7% wussten nicht, dass Männer HPV-Träger sind; 86,6% erklärten Impfbereitschaft, aber nur 38,7% waren geimpft (Lücke: 47,9%-Punkte). Kostbarrier bei 71,0% der Ungeimpften; Fachleute für Gesundheit wiesen 2,01× höhere Quote (p=0,030). Bildung und Wissensstand waren nicht assoziiert mit tatsächlicher Inanspruchnahme.</w:t>
      </w:r>
    </w:p>
    <w:p>
      <w:r>
        <w:rPr>
          <w:b/>
          <w:sz w:val="19"/>
        </w:rPr>
        <w:t xml:space="preserve">Übertragbarkeit: </w:t>
      </w:r>
      <w:r>
        <w:rPr>
          <w:sz w:val="19"/>
        </w:rPr>
        <w:t>Türkei, mittlere Übertragbarkeit; Kernbefund (Absichts-Umset-zungs-Lücke durch Kostenbarriere) für Deutschland relevant.</w:t>
      </w:r>
    </w:p>
    <w:p>
      <w:r>
        <w:rPr>
          <w:color w:val="5A7D3A"/>
          <w:sz w:val="18"/>
        </w:rPr>
        <w:t>https://pubmed.ncbi.nlm.nih.gov/42897523/</w:t>
      </w:r>
    </w:p>
    <w:p>
      <w:pPr>
        <w:pStyle w:val="Heading2"/>
      </w:pPr>
      <w:r>
        <w:t>Multi-Omics zeigt plattformspezifische Immunsignaturen nach COVID-19-Impfung</w:t>
      </w:r>
    </w:p>
    <w:p>
      <w:r>
        <w:rPr>
          <w:i/>
          <w:color w:val="666666"/>
          <w:sz w:val="18"/>
        </w:rPr>
        <w:t>Klein AH et al.  ·  Front Immunol  ·  02.10.2026  ·  PMID 42890872</w:t>
      </w:r>
    </w:p>
    <w:p>
      <w:r>
        <w:t>Integrierte Plasma-Proteomic, Lipidomic und Metabolomic bei 53 SARS-CoV-2-naiven Erwachsenen nach Impfung mit Pfizer, Moderna oder AstraZeneca; Analyse über mehrere Zeitpunkte mit DIABLO-Integration.</w:t>
      </w:r>
    </w:p>
    <w:p>
      <w:r>
        <w:rPr>
          <w:b/>
        </w:rPr>
        <w:t xml:space="preserve">Ergebnis: </w:t>
      </w:r>
      <w:r>
        <w:t>Pfizer assoziiert mit breitem Anstieg Immunglobulin/Komplement-Proteine, Lipidabnahme und bidirektionalen Metabolit-Änderungen. Moderna: Lipidanstieg, minimale Proteomic-Änderungen. AstraZeneca: subtilere, aber kohärente cross-omics-Verschiebungen (nur bei integrativem Modellieren sichtbar). Pfizer und Moderna teilten Metabolit-Konkordanz (Aminosäuren, TCA-Zyklus) bei divergenten Lipidomics. Plattformspezifische Unterschiede zeigen: Multi-Omics-Integration ist aussagekräftiger als einzelne Analysen.</w:t>
      </w:r>
    </w:p>
    <w:p>
      <w:r>
        <w:rPr>
          <w:b/>
          <w:sz w:val="19"/>
        </w:rPr>
        <w:t xml:space="preserve">Übertragbarkeit: </w:t>
      </w:r>
      <w:r>
        <w:rPr>
          <w:sz w:val="19"/>
        </w:rPr>
        <w:t>Australien; Befund zur Plattformvergleichbarkeit für europäische Impfplanung relevant.</w:t>
      </w:r>
    </w:p>
    <w:p>
      <w:r>
        <w:rPr>
          <w:color w:val="5A7D3A"/>
          <w:sz w:val="18"/>
        </w:rPr>
        <w:t>https://pubmed.ncbi.nlm.nih.gov/42890872/</w:t>
      </w:r>
    </w:p>
    <w:p>
      <w:pPr>
        <w:pStyle w:val="Heading2"/>
      </w:pPr>
      <w:r>
        <w:t>Impfparadoxon Ebolavakzin: Erfolg schafft Erwartungen, die künftige Ausbrüche nicht erfüllen</w:t>
      </w:r>
    </w:p>
    <w:p>
      <w:r>
        <w:rPr>
          <w:i/>
          <w:color w:val="666666"/>
          <w:sz w:val="18"/>
        </w:rPr>
        <w:t>Ugwu OP et al.  ·  Front Public Health  ·  02.10.2026  ·  PMID 42890191</w:t>
      </w:r>
    </w:p>
    <w:p>
      <w:r>
        <w:t>Perspektive auf East African Public Health: Analyse, wie Erfolg mit Zaire-ebolavirus-Impfstoff zu Erwartungshaltung auf artspezifische Vakzine auch gegen Sudan- und Bundibugyo-Virus führte, was bei deren Fehlen zu Vertrauensverlust droht.</w:t>
      </w:r>
    </w:p>
    <w:p>
      <w:r>
        <w:rPr>
          <w:b/>
        </w:rPr>
        <w:t xml:space="preserve">Ergebnis: </w:t>
      </w:r>
      <w:r>
        <w:t>Zentral ist die Vaccine Expectation Gap zwischen verfügbaren (artspezifisch limitiert) und erwarteten Impfstoffen. Sudan- und Bundibugyo-Ausbrüche zeigen: Immunisierungserfolg verstärkt Erwartungen, schafft aber auch Risiko bei nicht-Erfüllbarkeit. Empfohlen: Transparent kommunizieren (Rationale für artspezifische Unterschiede), Preparedness Trust Contract etablieren, Community Engagement ausbauen.</w:t>
      </w:r>
    </w:p>
    <w:p>
      <w:r>
        <w:rPr>
          <w:b/>
          <w:sz w:val="19"/>
        </w:rPr>
        <w:t xml:space="preserve">Übertragbarkeit: </w:t>
      </w:r>
      <w:r>
        <w:rPr>
          <w:sz w:val="19"/>
        </w:rPr>
        <w:t>Uganda/East Africa; Framework zur Erwartungsmanagement bei Impf-Kampagnen auf Deutschland übertragbar.</w:t>
      </w:r>
    </w:p>
    <w:p>
      <w:r>
        <w:rPr>
          <w:color w:val="5A7D3A"/>
          <w:sz w:val="18"/>
        </w:rPr>
        <w:t>https://pubmed.ncbi.nlm.nih.gov/42890191/</w:t>
      </w:r>
    </w:p>
    <w:p>
      <w:pPr>
        <w:pStyle w:val="Heading2"/>
      </w:pPr>
      <w:r>
        <w:t>Fachgerechte Ressourcen gegen Vaccine Hesitancy für Angehörige von Gesundheitsberufen</w:t>
      </w:r>
    </w:p>
    <w:p>
      <w:r>
        <w:rPr>
          <w:i/>
          <w:color w:val="666666"/>
          <w:sz w:val="18"/>
        </w:rPr>
        <w:t>Ansell M et al.  ·  J Med Libr Assoc  ·  01.10.2026  ·  PMID 42889793</w:t>
      </w:r>
    </w:p>
    <w:p>
      <w:r>
        <w:t>Qualitative Studie: Interviews mit 20 Fachleuten aus Gesundheitsberufen in Florida zu Erfahrungen mit impfskeptischen Patienten, gefolgt von Ko-Design eines evidenzgestützten Ressourcen-Leitfadens.</w:t>
      </w:r>
    </w:p>
    <w:p>
      <w:r>
        <w:rPr>
          <w:b/>
        </w:rPr>
        <w:t xml:space="preserve">Ergebnis: </w:t>
      </w:r>
      <w:r>
        <w:t>Zentrale Themen aus Inhaltsanalyse: Vertrauen in Arzt-Patient-Beziehung, Notwendigkeit individualisierter Gespräche, Kampf gegen Desinformation. Fachleute wünschten vielfältige, leicht zugängliche Materialien zur Unterstützung. Ressourcen-Leitfaden entwickelt, lokal in Gesundheitsnetzwerken verteilt; Librarians als kritische Akteure für Public-Health-Kampagnen identifiziert.</w:t>
      </w:r>
    </w:p>
    <w:p>
      <w:r>
        <w:rPr>
          <w:b/>
          <w:sz w:val="19"/>
        </w:rPr>
        <w:t xml:space="preserve">Übertragbarkeit: </w:t>
      </w:r>
      <w:r>
        <w:rPr>
          <w:sz w:val="19"/>
        </w:rPr>
        <w:t>USA; Befund zu Vertrauensbau und Desinformationsgegenwehr für alle Systeme relevant.</w:t>
      </w:r>
    </w:p>
    <w:p>
      <w:r>
        <w:rPr>
          <w:color w:val="5A7D3A"/>
          <w:sz w:val="18"/>
        </w:rPr>
        <w:t>https://pubmed.ncbi.nlm.nih.gov/42889793/</w:t>
      </w:r>
    </w:p>
    <w:p>
      <w:pPr>
        <w:pStyle w:val="Heading2"/>
      </w:pPr>
      <w:r>
        <w:t>Influenza-Vakzin-Effizienz 2024–2025 und Barrieren bei Impfquoten</w:t>
      </w:r>
    </w:p>
    <w:p>
      <w:r>
        <w:rPr>
          <w:i/>
          <w:color w:val="666666"/>
          <w:sz w:val="18"/>
        </w:rPr>
        <w:t>Naik H  ·  FP Essent  ·  Okt. 2026  ·  PMID 42879808</w:t>
      </w:r>
    </w:p>
    <w:p>
      <w:r>
        <w:t>Übersicht zur Influenza-Epidemiologie USA 2024/2025 und Impfeffektivität, Risikogruppen, Impfstoffzugang, Barrieren gegen Immunisierung sowie Antivirale-Therapien.</w:t>
      </w:r>
    </w:p>
    <w:p>
      <w:r>
        <w:rPr>
          <w:b/>
        </w:rPr>
        <w:t xml:space="preserve">Ergebnis: </w:t>
      </w:r>
      <w:r>
        <w:t>2024–2025 schwerste Saison seit 2017/2018: 47–82 Mio. Fälle, bis zu 1,3 Mio. Hospitalisierungen, bis zu 130.000 Todesfälle USA. Impfeffektivität 2024–2025 32–78% je nach Alter/Endpunkt. Barrieren: Desinformation, begrenzte Zugänge, Misstrauen, Ungleichheit. Empfehlungen: Impfzugang verbessern, Desinformation bekämpfen, Community Outreach, Antivirale-Forschung voranbringen.</w:t>
      </w:r>
    </w:p>
    <w:p>
      <w:r>
        <w:rPr>
          <w:b/>
          <w:sz w:val="19"/>
        </w:rPr>
        <w:t xml:space="preserve">Übertragbarkeit: </w:t>
      </w:r>
      <w:r>
        <w:rPr>
          <w:sz w:val="19"/>
        </w:rPr>
        <w:t>USA; Barrieren und Quoten-Strategien für Deutschland adaptierbar.</w:t>
      </w:r>
    </w:p>
    <w:p>
      <w:r>
        <w:rPr>
          <w:color w:val="5A7D3A"/>
          <w:sz w:val="18"/>
        </w:rPr>
        <w:t>https://pubmed.ncbi.nlm.nih.gov/42879808/</w:t>
      </w:r>
    </w:p>
    <w:p>
      <w:pPr>
        <w:pStyle w:val="Heading1"/>
      </w:pPr>
      <w:r>
        <w:t>Aufgenommen am 20.10.2026</w:t>
      </w:r>
    </w:p>
    <w:p>
      <w:pPr>
        <w:pStyle w:val="Heading2"/>
      </w:pPr>
      <w:r>
        <w:t>Kosteneffektivität der RSV-mRNA-Impfung für Ältere in Italien</w:t>
      </w:r>
    </w:p>
    <w:p>
      <w:r>
        <w:rPr>
          <w:i/>
          <w:color w:val="666666"/>
          <w:sz w:val="18"/>
        </w:rPr>
        <w:t>Dronova M et al.  ·  J Med Econ  ·  19.10.2026  ·  PMID 42895511</w:t>
      </w:r>
    </w:p>
    <w:p>
      <w:r>
        <w:t>Health-Technology-Assessment mit Entscheidungsmodell zur RSV-Impfung (mRNA-1345, Einzeldosis) gegenüber Nichtimpfung bei Italienern ≥60 Jahren mit chronischen Erkrankungen und allen ≥75-Jährigen über 5 Jahre.</w:t>
      </w:r>
    </w:p>
    <w:p>
      <w:r>
        <w:rPr>
          <w:b/>
        </w:rPr>
        <w:t xml:space="preserve">Ergebnis: </w:t>
      </w:r>
      <w:r>
        <w:t>RSV-Impfung hätte über 5 Jahre 19.800 Krankenhauseinweisungen, 6.000 Todesfälle und 212.000 Antibiotikaverordnungen verhindert. Inkrementelle Kosten: 1.143 Mio. €, Gesundheitsgewinn: 47.477 QALYs, ICER 24.078 €/QALY (unterhalb der Kostenschwelle von 33.000–40.000 €/QALY). Ergebnis robust in Sensitivitätsanalysen.</w:t>
      </w:r>
    </w:p>
    <w:p>
      <w:r>
        <w:rPr>
          <w:b/>
          <w:sz w:val="19"/>
        </w:rPr>
        <w:t xml:space="preserve">Übertragbarkeit: </w:t>
      </w:r>
      <w:r>
        <w:rPr>
          <w:sz w:val="19"/>
        </w:rPr>
        <w:t>Italien, Sozialversicherungssystem, vergleichbar mit deutschem System.</w:t>
      </w:r>
    </w:p>
    <w:p>
      <w:r>
        <w:rPr>
          <w:color w:val="5A7D3A"/>
          <w:sz w:val="18"/>
        </w:rPr>
        <w:t>https://pubmed.ncbi.nlm.nih.gov/42895511/</w:t>
      </w:r>
    </w:p>
    <w:p>
      <w:pPr>
        <w:pStyle w:val="Heading2"/>
      </w:pPr>
      <w:r>
        <w:t>CAR-T-Kinetik und Tumormerkmale sagen Therapieerfolg bei B-Zell-Lymphomen voraus</w:t>
      </w:r>
    </w:p>
    <w:p>
      <w:r>
        <w:rPr>
          <w:i/>
          <w:color w:val="666666"/>
          <w:sz w:val="18"/>
        </w:rPr>
        <w:t>Schadt J et al.  ·  Front Immunol  ·  02.10.2026  ·  PMID 42890243</w:t>
      </w:r>
    </w:p>
    <w:p>
      <w:r>
        <w:t>Prospektive Studie mit 92 B-Zell-Patienten unter CAR-T-Therapie in Dresden; mechanistisches Modell der CAR-T- und Tumor-Interaktion zur Vorhersage von Rückfällen.</w:t>
      </w:r>
    </w:p>
    <w:p>
      <w:r>
        <w:rPr>
          <w:b/>
        </w:rPr>
        <w:t xml:space="preserve">Ergebnis: </w:t>
      </w:r>
      <w:r>
        <w:t>Vier Phasen der CAR-T-Kinetik identifiziert (Verteilung, Expansion, Kontraktion, Persistenz). Schwache Expansion oder tiefe Kontraktion sind Rückfallzeichen. Das Modell erklärt individuelle Kinetik, scheitert aber bei Outcome-Prognose mit einheitlichen Tumorparametern. Gleiche CAR-T-Dynamik kann aus unterschiedlichen Tumorfaktoren resultieren; Blutmarker wie LDH oder Ann-Arbor-Score helfen nicht zur Risikostratifizierung.</w:t>
      </w:r>
    </w:p>
    <w:p>
      <w:r>
        <w:rPr>
          <w:b/>
          <w:sz w:val="19"/>
        </w:rPr>
        <w:t xml:space="preserve">Übertragbarkeit: </w:t>
      </w:r>
      <w:r>
        <w:rPr>
          <w:sz w:val="19"/>
        </w:rPr>
        <w:t>Deutschland, einzelne Universitätsklinik, begrenzte Übertragbarkeit auf Routineversorgung.</w:t>
      </w:r>
    </w:p>
    <w:p>
      <w:r>
        <w:rPr>
          <w:color w:val="5A7D3A"/>
          <w:sz w:val="18"/>
        </w:rPr>
        <w:t>https://pubmed.ncbi.nlm.nih.gov/42890243/</w:t>
      </w:r>
    </w:p>
    <w:p>
      <w:pPr>
        <w:pStyle w:val="Heading2"/>
      </w:pPr>
      <w:r>
        <w:t>RSV-Impfeffektivität bei älteren Erwachsenen mit Immunsuppression: Dänische Praxisstudie</w:t>
      </w:r>
    </w:p>
    <w:p>
      <w:r>
        <w:rPr>
          <w:i/>
          <w:color w:val="666666"/>
          <w:sz w:val="18"/>
        </w:rPr>
        <w:t>Reimer Jensen AM et al.  ·  Lancet Healthy Longev  ·  06.10.2026  ·  PMID 42838078</w:t>
      </w:r>
    </w:p>
    <w:p>
      <w:r>
        <w:t>Pragmatische randomisierte Studie in Dänemark (November-Dezember 2024) zur Wirksamkeit einer RSV-Prefusion-F-Impfung bei Erwachsenen ≥60 Jahren mit und ohne Immunsuppression.</w:t>
      </w:r>
    </w:p>
    <w:p>
      <w:r>
        <w:rPr>
          <w:b/>
        </w:rPr>
        <w:t xml:space="preserve">Ergebnis: </w:t>
      </w:r>
      <w:r>
        <w:t>Bei 131.276 Teilnehmern zeigte sich insgesamt eine Impfeffektivität von 83,3% (95%-KI 42,9–96,9) gegen RSV-bedingte Krankenhauseinweisungen. Bei Immunsupprimierten (n=5.199) lag die Effektivität bei 60,5% (95%-KI -141,4–96,2), bei nicht Immunsupprimierten bei 92,3% (95%-KI 48,7–99,8); kein signifikanter Unterschied zwischen Gruppen (p=0,22). Immunsupprimierte hatten neunfach höhere Erkrankungsrate ohne Impfung (4,68 vs. 0,50 pro 1000 Personenjahre).</w:t>
      </w:r>
    </w:p>
    <w:p>
      <w:r>
        <w:rPr>
          <w:b/>
          <w:sz w:val="19"/>
        </w:rPr>
        <w:t xml:space="preserve">Übertragbarkeit: </w:t>
      </w:r>
      <w:r>
        <w:rPr>
          <w:sz w:val="19"/>
        </w:rPr>
        <w:t>Skandinavien, nationale Registerdaten, vergleichbare Struktur zu deutschen Krankenhauserfassungen.</w:t>
      </w:r>
    </w:p>
    <w:p>
      <w:r>
        <w:rPr>
          <w:color w:val="5A7D3A"/>
          <w:sz w:val="18"/>
        </w:rPr>
        <w:t>https://pubmed.ncbi.nlm.nih.gov/42838078/</w:t>
      </w:r>
    </w:p>
    <w:p>
      <w:pPr>
        <w:pStyle w:val="Heading2"/>
      </w:pPr>
      <w:r>
        <w:t>CAR-T vs. autologe Stammzelltransplantation bei Lymphom: deutsche Kostenstudie</w:t>
      </w:r>
    </w:p>
    <w:p>
      <w:r>
        <w:rPr>
          <w:i/>
          <w:color w:val="666666"/>
          <w:sz w:val="18"/>
        </w:rPr>
        <w:t>Froitzheim AC et al.  ·  J Cancer Res Clin Oncol  ·  30.09.2026  ·  PMID 42823558</w:t>
      </w:r>
    </w:p>
    <w:p>
      <w:r>
        <w:t>Zweistufige Analyse deutscher Krankenversicherungsdaten (2020–2023) und stationärer Aufnahmen zu Kosten und Nutzung von CAR-T vs. autologe Stammzelltransplantation bei DLBCL.</w:t>
      </w:r>
    </w:p>
    <w:p>
      <w:r>
        <w:rPr>
          <w:b/>
        </w:rPr>
        <w:t xml:space="preserve">Ergebnis: </w:t>
      </w:r>
      <w:r>
        <w:t>12 CAR-T vs. 59 autoSCT: Initiale Regime-Kosten 61.703 € (CAR-T) vs. 55.802 € (autoSCT); Folgekosten 44.832 € vs. 69.453 €. Stationär: durchschnittliche Verweildauer vergleichbar (27,3 vs. 27,8 Tage), CAR-T günstiger (13.991 € vs. 29.432 €). Unerwünschte Ereignisse: B-Zell-Aplasie/Neutropenie häufiger bei CAR-T (77% vs. 64%).</w:t>
      </w:r>
    </w:p>
    <w:p>
      <w:r>
        <w:rPr>
          <w:b/>
          <w:sz w:val="19"/>
        </w:rPr>
        <w:t xml:space="preserve">Übertragbarkeit: </w:t>
      </w:r>
      <w:r>
        <w:rPr>
          <w:sz w:val="19"/>
        </w:rPr>
        <w:t>Deutschland, Abrechnungsdaten Krankenkassen und DRG-Statistik, vollständig übertragbar.</w:t>
      </w:r>
    </w:p>
    <w:p>
      <w:r>
        <w:rPr>
          <w:color w:val="5A7D3A"/>
          <w:sz w:val="18"/>
        </w:rPr>
        <w:t>https://pubmed.ncbi.nlm.nih.gov/42823558/</w:t>
      </w:r>
    </w:p>
    <w:p>
      <w:pPr>
        <w:pStyle w:val="Heading2"/>
      </w:pPr>
      <w:r>
        <w:t>Deutsche Rheumatologen bewerten CAR-T und T-cell engager kritisch</w:t>
      </w:r>
    </w:p>
    <w:p>
      <w:r>
        <w:rPr>
          <w:i/>
          <w:color w:val="666666"/>
          <w:sz w:val="18"/>
        </w:rPr>
        <w:t>Meinecke A et al.  ·  Rheumatol Int  ·  26.09.2026  ·  PMID 42799770</w:t>
      </w:r>
    </w:p>
    <w:p>
      <w:r>
        <w:t>Web-basierte Befragung von 98 deutschen Rheumatologen (Median 43 Jahre, 46,3% universitär tätig) zu Wissen, Haltung und Barrieren gegenüber T-Zell-umgerichteten Therapien (TCRTs).</w:t>
      </w:r>
    </w:p>
    <w:p>
      <w:r>
        <w:rPr>
          <w:b/>
        </w:rPr>
        <w:t xml:space="preserve">Ergebnis: </w:t>
      </w:r>
      <w:r>
        <w:t>94,8% verweisen gerne an spezialisierte Zentren, halten aber nur 5% ihrer Patienten für geeignet (schwere, therapierefraktäre Bindegewebserkrankungen). Hauptbarrieren: hohe Kosten (82%), begrenzte klinische Erfahrung (65,5%), Anwendbarkeit auf wenige Patienten (35,4%). Sicherheitswissen gut, Selbsteinschätzung des TCRT-Wissens aber nur Median 4,86/10 Punkte.</w:t>
      </w:r>
    </w:p>
    <w:p>
      <w:r>
        <w:rPr>
          <w:b/>
          <w:sz w:val="19"/>
        </w:rPr>
        <w:t xml:space="preserve">Übertragbarkeit: </w:t>
      </w:r>
      <w:r>
        <w:rPr>
          <w:sz w:val="19"/>
        </w:rPr>
        <w:t>Deutschland, nationale Fachgesellschaft, direkt repräsentativ für deutsche Rheumatologie.</w:t>
      </w:r>
    </w:p>
    <w:p>
      <w:r>
        <w:rPr>
          <w:color w:val="5A7D3A"/>
          <w:sz w:val="18"/>
        </w:rPr>
        <w:t>https://pubmed.ncbi.nlm.nih.gov/42799770/</w:t>
      </w:r>
    </w:p>
    <w:p>
      <w:pPr>
        <w:pStyle w:val="Heading2"/>
      </w:pPr>
      <w:r>
        <w:t>Basale B-Zellzahl und IL-6 sagen Zytokinfreisetzungssyndrom nach CAR-T voraus</w:t>
      </w:r>
    </w:p>
    <w:p>
      <w:r>
        <w:rPr>
          <w:i/>
          <w:color w:val="666666"/>
          <w:sz w:val="18"/>
        </w:rPr>
        <w:t>Chan SCW et al.  ·  Lancet Rheumatol  ·  25.09.2026  ·  PMID 42790438</w:t>
      </w:r>
    </w:p>
    <w:p>
      <w:r>
        <w:t>Retrospektive Kohortenstudie an 6 deutschen und 1 chinesischen Zentrum mit 108 Autoimmunpatienten unter autologer CAR-T-Therapie (CD19-Zielzellen); Identifikation von Biomarkern für Cytokine-Release-Syndrome (CRS).</w:t>
      </w:r>
    </w:p>
    <w:p>
      <w:r>
        <w:rPr>
          <w:b/>
        </w:rPr>
        <w:t xml:space="preserve">Ergebnis: </w:t>
      </w:r>
      <w:r>
        <w:t>80% (86/108) entwickelten CRS (66% Grad 1, 13% Grad 2, 1% Grad 3). CRS-Patienten hatten signifikant höhere Ausgangs-B-Zellzahlen (43 vs. 6 Zellen/μL, p=0,0002), IL-6 (10 vs. 3 pg/ml, p=0,0003) und CRP (5 vs. 3 mg/L, p=0,042). Multivariates Modell: B-Zellzahl (OR 1,31, 95%-KI 1,06–1,67, p=0,012) und IL-6 (OR 2,28, 95%-KI 1,30–4,65, p=0,0001) prädiktorisch.</w:t>
      </w:r>
    </w:p>
    <w:p>
      <w:r>
        <w:rPr>
          <w:b/>
          <w:sz w:val="19"/>
        </w:rPr>
        <w:t xml:space="preserve">Übertragbarkeit: </w:t>
      </w:r>
      <w:r>
        <w:rPr>
          <w:sz w:val="19"/>
        </w:rPr>
        <w:t>Deutschland, Multizenterstudie, direkt übertragbar auf deutsche CAR-T-Praxis.</w:t>
      </w:r>
    </w:p>
    <w:p>
      <w:r>
        <w:rPr>
          <w:color w:val="5A7D3A"/>
          <w:sz w:val="18"/>
        </w:rPr>
        <w:t>https://pubmed.ncbi.nlm.nih.gov/42790438/</w:t>
      </w:r>
    </w:p>
    <w:p>
      <w:pPr>
        <w:pStyle w:val="Heading1"/>
      </w:pPr>
      <w:r>
        <w:t>Aufgenommen am 19.10.2026</w:t>
      </w:r>
    </w:p>
    <w:p>
      <w:pPr>
        <w:pStyle w:val="Heading2"/>
      </w:pPr>
      <w:r>
        <w:t>Tetanus-Antikörper bei Tumorkindern nach Chemotherapie: Impfung erforderlich</w:t>
      </w:r>
    </w:p>
    <w:p>
      <w:r>
        <w:rPr>
          <w:i/>
          <w:color w:val="666666"/>
          <w:sz w:val="18"/>
        </w:rPr>
        <w:t>Xu YY et al.  ·  Zhonghua Yu Fang Yi Xue Za Zhi  ·  06.10.2026  ·  PMID 42893916</w:t>
      </w:r>
    </w:p>
    <w:p>
      <w:r>
        <w:t>Vergleich der Tetanus-IgG-Antikörperspiegel bei 293 Kindern mit Blutkrebs vor und einen Monat nach Chemotherapie sowie in 293 altersgleichen gesunden Kontrollkindern aus Zhejiang, China.</w:t>
      </w:r>
    </w:p>
    <w:p>
      <w:r>
        <w:rPr>
          <w:b/>
        </w:rPr>
        <w:t xml:space="preserve">Ergebnis: </w:t>
      </w:r>
      <w:r>
        <w:t>Tetanus-IgG-Antikörper nach Chemotherapie sanken signifikant: Seropositiv-Rate von 84,64% (vor Therapie) auf 70,99% (nach Therapie, p&lt;0,001); geometrischer Mittelwert fiel von 1,22±0,17 auf 0,73±0,11 IU/ml (p&lt;0,001). Nach Chemotherapie lagen beide Parameter unter denen der gesunden Kontrollen (84,98% positiv; GMC 1,06±0,06 IU/ml). Schlussfolgerung: Impfung gegen Tetanus ist nach Chemotherapie notwendig.</w:t>
      </w:r>
    </w:p>
    <w:p>
      <w:r>
        <w:rPr>
          <w:b/>
          <w:sz w:val="19"/>
        </w:rPr>
        <w:t xml:space="preserve">Übertragbarkeit: </w:t>
      </w:r>
      <w:r>
        <w:rPr>
          <w:sz w:val="19"/>
        </w:rPr>
        <w:t>China, Pädiatrie-Kohorte; Befund zur Impfindikation bei immunsupprimierten Kindern universal übertragbar.</w:t>
      </w:r>
    </w:p>
    <w:p>
      <w:r>
        <w:rPr>
          <w:color w:val="5A7D3A"/>
          <w:sz w:val="18"/>
        </w:rPr>
        <w:t>https://pubmed.ncbi.nlm.nih.gov/42893916/</w:t>
      </w:r>
    </w:p>
    <w:p>
      <w:pPr>
        <w:pStyle w:val="Heading2"/>
      </w:pPr>
      <w:r>
        <w:t>RSV-Impfung in Schwangerschaft: Impfquote in Sydney stieg von 4 auf 70–74 Prozent in acht Monaten</w:t>
      </w:r>
    </w:p>
    <w:p>
      <w:r>
        <w:rPr>
          <w:i/>
          <w:color w:val="666666"/>
          <w:sz w:val="18"/>
        </w:rPr>
        <w:t>Townshend I et al.  ·  Public Health Res Pract  ·  10.12.2026  ·  PMID 42893694</w:t>
      </w:r>
    </w:p>
    <w:p>
      <w:r>
        <w:t>Beschreibung der Implementierung der RSV-Impfung für Schwangere und des monoklonalen Antikörpers Nirsevimab für Neugeborene in zwei Krankenhäusern der Sydney Local Health District mit Tracking der Impfquoten und dokumentierten Lektionen.</w:t>
      </w:r>
    </w:p>
    <w:p>
      <w:r>
        <w:rPr>
          <w:b/>
        </w:rPr>
        <w:t xml:space="preserve">Ergebnis: </w:t>
      </w:r>
      <w:r>
        <w:t>RSV-Impfquote bei gebärenden Frauen stieg von 4% im Februar 2025 auf 70–74% von Juni bis September 2025. Mit steigender Impfquote bei Müttern sank die Zahl der Neugeborenen, die Nirsevimab benötigten. Von anspruchsberechtigten Neugeborenen lehnten 36% Nirsevimab ab; Ablehnungsgründe wurden nicht dokumentiert. Kritische Erfolgsfaktoren: multidisziplinäre Führung, Nutzung bestehender Schulungsstrukturen und Integration in Dokumentationsabläufe.</w:t>
      </w:r>
    </w:p>
    <w:p>
      <w:r>
        <w:rPr>
          <w:b/>
          <w:sz w:val="19"/>
        </w:rPr>
        <w:t xml:space="preserve">Übertragbarkeit: </w:t>
      </w:r>
      <w:r>
        <w:rPr>
          <w:sz w:val="19"/>
        </w:rPr>
        <w:t>Australien, direkter Transfer auf föderale Rollout-Strukturen begrenzt; Implementierungslektionen für europäische Systeme relevant.</w:t>
      </w:r>
    </w:p>
    <w:p>
      <w:r>
        <w:rPr>
          <w:color w:val="5A7D3A"/>
          <w:sz w:val="18"/>
        </w:rPr>
        <w:t>https://pubmed.ncbi.nlm.nih.gov/42893694/</w:t>
      </w:r>
    </w:p>
    <w:p>
      <w:pPr>
        <w:pStyle w:val="Heading2"/>
      </w:pPr>
      <w:r>
        <w:t>Impfschulung für Gesundheitshelfer erhöht Wissen, nicht Impfbereitschaft</w:t>
      </w:r>
    </w:p>
    <w:p>
      <w:r>
        <w:rPr>
          <w:i/>
          <w:color w:val="666666"/>
          <w:sz w:val="18"/>
        </w:rPr>
        <w:t>Bostan YE  ·  J Eval Clin Pract  ·  Okt. 2026  ·  PMID 42893536</w:t>
      </w:r>
    </w:p>
    <w:p>
      <w:r>
        <w:t>Evaluierung eines vierstündigen Impfschulungsprogramms für 272 türkische Gesundheitshelfer mit Messung von Impfwissen und Vaccine Hesitancy vor und nach dem Training.</w:t>
      </w:r>
    </w:p>
    <w:p>
      <w:r>
        <w:rPr>
          <w:b/>
        </w:rPr>
        <w:t xml:space="preserve">Ergebnis: </w:t>
      </w:r>
      <w:r>
        <w:t>Impfwissen stieg erheblich von 6,77 auf 8,76 von 10 Punkten (dz=1,34, p&lt;0,001); 84,9% der Teilnehmer verbesserten ihre Punktzahl. Vaccine Hesitancy sank statistisch signifikant, aber praktisch unbedeutend um 0,90 Punkte (dz=-0,13, p=0,033), entsprechend nur 1,9% der Skalaspanne; 51,4% zeigten niedrigere, 36,3% höhere Werte nach Training.</w:t>
      </w:r>
    </w:p>
    <w:p>
      <w:r>
        <w:rPr>
          <w:b/>
          <w:sz w:val="19"/>
        </w:rPr>
        <w:t xml:space="preserve">Übertragbarkeit: </w:t>
      </w:r>
      <w:r>
        <w:rPr>
          <w:sz w:val="19"/>
        </w:rPr>
        <w:t>Türkei, ähnliche Herausforderungen bei Vaccine Hesitancy; Design ohne Kontrollgruppe begrenzt Kausalitätsaussagen.</w:t>
      </w:r>
    </w:p>
    <w:p>
      <w:r>
        <w:rPr>
          <w:color w:val="5A7D3A"/>
          <w:sz w:val="18"/>
        </w:rPr>
        <w:t>https://pubmed.ncbi.nlm.nih.gov/42893536/</w:t>
      </w:r>
    </w:p>
    <w:p>
      <w:pPr>
        <w:pStyle w:val="Heading2"/>
      </w:pPr>
      <w:r>
        <w:t>RSV-Impfung in der Schwangerschaft: Laufendes Evidenz-Update geplant</w:t>
      </w:r>
    </w:p>
    <w:p>
      <w:r>
        <w:rPr>
          <w:i/>
          <w:color w:val="666666"/>
          <w:sz w:val="18"/>
        </w:rPr>
        <w:t>Mazzoni A et al.  ·  JMIR Res Protoc  ·  15.10.2026  ·  PMID 42893392</w:t>
      </w:r>
    </w:p>
    <w:p>
      <w:r>
        <w:t>Protokoll für eine kontinuierlich aktualisierte systematische Übersicht und Metaanalyse zur Wirksamkeit, Effektivität und Immunogenität der RSV-PreF-Impfung bei schwangeren Frauen, mit Fokus auf postmarkt-Daten aus der Versorgung.</w:t>
      </w:r>
    </w:p>
    <w:p>
      <w:r>
        <w:rPr>
          <w:b/>
        </w:rPr>
        <w:t xml:space="preserve">Ergebnis: </w:t>
      </w:r>
      <w:r>
        <w:t>Stand Januar 2026: 837 Publikationen gescreent, 105 (12,5%) im Volltext bewertet, 12 (1,4%) erfüllten Einschlusskriterien, 10 (1,2%) lieferten verwertbare Daten. Suche läuft bis mindestens April 2028 mit monatlichen Updates. Erste Effektivitätsschätzungen verfügbar voraussichtlich Juli 2026. Interaktives Dashboard für Echtzeit-Datenzugang geplant.</w:t>
      </w:r>
    </w:p>
    <w:p>
      <w:r>
        <w:rPr>
          <w:b/>
          <w:sz w:val="19"/>
        </w:rPr>
        <w:t xml:space="preserve">Übertragbarkeit: </w:t>
      </w:r>
      <w:r>
        <w:rPr>
          <w:sz w:val="19"/>
        </w:rPr>
        <w:t>Internationale Zusammensetzung (Argentinien, USA, Tulane); Ergebnisse gelten für alle Länder mit RSV-Impfprogrammen.</w:t>
      </w:r>
    </w:p>
    <w:p>
      <w:r>
        <w:rPr>
          <w:color w:val="5A7D3A"/>
          <w:sz w:val="18"/>
        </w:rPr>
        <w:t>https://pubmed.ncbi.nlm.nih.gov/42893392/</w:t>
      </w:r>
    </w:p>
    <w:p>
      <w:pPr>
        <w:pStyle w:val="Heading2"/>
      </w:pPr>
      <w:r>
        <w:t>Atemwegsimpfungen für Erwachsene: Kosten-Nutzen-Analyse mit 11:1 Rendite</w:t>
      </w:r>
    </w:p>
    <w:p>
      <w:r>
        <w:rPr>
          <w:i/>
          <w:color w:val="666666"/>
          <w:sz w:val="18"/>
        </w:rPr>
        <w:t>Napier M et al.  ·  Expert Rev Vaccines  ·  17.10.2026  ·  PMID 42892738</w:t>
      </w:r>
    </w:p>
    <w:p>
      <w:r>
        <w:t>Benefit-Cost-Analyse der Impfungen gegen Pneumokokken, RSV, Influenza und COVID-19 bei Erwachsenen in Australien über zehn Jahre aus gesamtgesellschaftlicher Perspektive.</w:t>
      </w:r>
    </w:p>
    <w:p>
      <w:r>
        <w:rPr>
          <w:b/>
        </w:rPr>
        <w:t xml:space="preserve">Ergebnis: </w:t>
      </w:r>
      <w:r>
        <w:t>Impfprogramme generierten einen Nutzen-Kosten-Verhältnis von 11,24:1 (mit Lebenswertwertschätzung) bzw. 5,69:1 (mit Lebensjahreswert), verhinderten 234.187 Hospitalisierungen und 13.890 Todesfälle, mit Nettonutzen von 64,97 Mrd. oder 29,76 Mrd. australischen Dollar.</w:t>
      </w:r>
    </w:p>
    <w:p>
      <w:r>
        <w:rPr>
          <w:b/>
          <w:sz w:val="19"/>
        </w:rPr>
        <w:t xml:space="preserve">Übertragbarkeit: </w:t>
      </w:r>
      <w:r>
        <w:rPr>
          <w:sz w:val="19"/>
        </w:rPr>
        <w:t>Australien, vergleichbares Sozialversicherungssystem; Methodik auf DACH übertragbar.</w:t>
      </w:r>
    </w:p>
    <w:p>
      <w:r>
        <w:rPr>
          <w:color w:val="5A7D3A"/>
          <w:sz w:val="18"/>
        </w:rPr>
        <w:t>https://pubmed.ncbi.nlm.nih.gov/42892738/</w:t>
      </w:r>
    </w:p>
    <w:p>
      <w:pPr>
        <w:pStyle w:val="Heading2"/>
      </w:pPr>
      <w:r>
        <w:t>Typhus-Impfschutz hängt von CD8+-T-Zell-Profilen ab, nicht nur von deren Menge</w:t>
      </w:r>
    </w:p>
    <w:p>
      <w:r>
        <w:rPr>
          <w:i/>
          <w:color w:val="666666"/>
          <w:sz w:val="18"/>
        </w:rPr>
        <w:t>Booth JS et al.  ·  Front Cell Infect Microbiol  ·  02.10.2026  ·  PMID 42890021</w:t>
      </w:r>
    </w:p>
    <w:p>
      <w:r>
        <w:t>Untersuchung von CD8+-T-Zell-Mustern bei 53 Probanden nach Ty21a-Impfung und kontrolierter Exposition gegenüber virulenten Typhi-Bakterien mittels hochdimensionaler Durchflusszytometrie.</w:t>
      </w:r>
    </w:p>
    <w:p>
      <w:r>
        <w:rPr>
          <w:b/>
        </w:rPr>
        <w:t xml:space="preserve">Ergebnis: </w:t>
      </w:r>
      <w:r>
        <w:t>Probanden ohne Typhuserkrankung (NoTD) zeigten distinct multifunktionale, schutzassoziierte CD8+-T-Zell-Programme, während erkrankte Probanden (TD) divergente, anfälligkeitsassoziierte Muster aufwiesen. NoTD-CD8+-T-Zellen waren angereichert mit CXCR3, IL-17A, TNFα und MIP1b; TD-Zellen zeigten CCR6- und α4β7-Bias. Schutz und Anfälligkeit verteilten sich über mehrere CD8+-T-Zell-Subtypen, nicht auf einzelne.</w:t>
      </w:r>
    </w:p>
    <w:p>
      <w:r>
        <w:rPr>
          <w:b/>
          <w:sz w:val="19"/>
        </w:rPr>
        <w:t xml:space="preserve">Übertragbarkeit: </w:t>
      </w:r>
      <w:r>
        <w:rPr>
          <w:sz w:val="19"/>
        </w:rPr>
        <w:t>UK/USA-Studie; Mechanismen gelten universell, Übertragbarkeit auf Impfqualitätskontrolle hoch.</w:t>
      </w:r>
    </w:p>
    <w:p>
      <w:r>
        <w:rPr>
          <w:color w:val="5A7D3A"/>
          <w:sz w:val="18"/>
        </w:rPr>
        <w:t>https://pubmed.ncbi.nlm.nih.gov/42890021/</w:t>
      </w:r>
    </w:p>
    <w:p>
      <w:pPr>
        <w:pStyle w:val="Heading1"/>
      </w:pPr>
      <w:r>
        <w:t>Aufgenommen am 18.10.2026</w:t>
      </w:r>
    </w:p>
    <w:p>
      <w:pPr>
        <w:pStyle w:val="Heading2"/>
      </w:pPr>
      <w:r>
        <w:t>Impfeffektivität im Feld: Biologisches Monitoring statt nur Verwaltungsquoten</w:t>
      </w:r>
    </w:p>
    <w:p>
      <w:r>
        <w:rPr>
          <w:i/>
          <w:color w:val="666666"/>
          <w:sz w:val="18"/>
        </w:rPr>
        <w:t>Adedeji AA et al.  ·  Front Public Health  ·  02.10.2026  ·  PMID 42890904</w:t>
      </w:r>
    </w:p>
    <w:p>
      <w:r>
        <w:t>Konzeptioneller Rahmen für Population-Level Immunologic Monitoring (PLIM) in Ruanda und Ostafrika, um Impfwirksamkeit auf Bevölkerungsebene in Echtzeit zu erfassen – nicht nur Verwaltungsdaten.</w:t>
      </w:r>
    </w:p>
    <w:p>
      <w:r>
        <w:rPr>
          <w:b/>
        </w:rPr>
        <w:t xml:space="preserve">Ergebnis: </w:t>
      </w:r>
      <w:r>
        <w:t>PLIM-Modell integriert drei Säulen: biologische Sentinel-Überwachung (Trockenblutkarten mit ELISA und T-Zell-Aktivierungsassays), Risiko-Stratifizierung und digitales Feedback über DHIS2. Population Immunologic Threshold (PIT) als Komposit-Metrik verbindet individuelle Schutzkorrelate mit Herdenimmunitätsschwellwerten. Modell adressiert ‚biologische Kaltflecken' vor Ausbrüchen; erfordert noch Validierungsstudien vor Implementierung.</w:t>
      </w:r>
    </w:p>
    <w:p>
      <w:r>
        <w:rPr>
          <w:b/>
          <w:sz w:val="19"/>
        </w:rPr>
        <w:t xml:space="preserve">Übertragbarkeit: </w:t>
      </w:r>
      <w:r>
        <w:rPr>
          <w:sz w:val="19"/>
        </w:rPr>
        <w:t>Rwanda-Pilotstudie geplant, auf SSA übertragbar; für Deutschland weniger relevant ohne ähnliche Impfregister-Infrastruktur.</w:t>
      </w:r>
    </w:p>
    <w:p>
      <w:r>
        <w:rPr>
          <w:color w:val="5A7D3A"/>
          <w:sz w:val="18"/>
        </w:rPr>
        <w:t>https://pubmed.ncbi.nlm.nih.gov/42890904/</w:t>
      </w:r>
    </w:p>
    <w:p>
      <w:pPr>
        <w:pStyle w:val="Heading2"/>
      </w:pPr>
      <w:r>
        <w:t>HPV-Impfquoten bei Menschen mit Behinderungen: Barrieren und Ungleichheit</w:t>
      </w:r>
    </w:p>
    <w:p>
      <w:r>
        <w:rPr>
          <w:i/>
          <w:color w:val="666666"/>
          <w:sz w:val="18"/>
        </w:rPr>
        <w:t>Walmsley S et al.  ·  Hum Vaccin Immunother  ·  16.10.2026  ·  PMID 42886011</w:t>
      </w:r>
    </w:p>
    <w:p>
      <w:r>
        <w:t>Scoping Review zur HPV-Impfabdeckung und Zugangsbarrieren für Menschen mit Behinderungen in 33 Studien aus Hocheinkommensländern (2006–2025).</w:t>
      </w:r>
    </w:p>
    <w:p>
      <w:r>
        <w:rPr>
          <w:b/>
        </w:rPr>
        <w:t xml:space="preserve">Ergebnis: </w:t>
      </w:r>
      <w:r>
        <w:t>Konsistente Ungleichheiten in der HPV-Impfquote für Menschen mit Behinderungen dokumentiert. Hauptbarrieren: falsche Annahmen über Sexualverhalten (unvollständig quantifiziert), fehlende Impfempfehlungen von Fachpersonen in klinischen Settings (65 % der Studien berichten dies), Mangel an Personalschulung. Erhebliche Forschungslücken für Menschen mit körperlichen, psychosozialen, Seh- oder Hörstörungen; keine Populationsdaten aus Niedrig-/Mitteleinkommen-Ländern verfügbar.</w:t>
      </w:r>
    </w:p>
    <w:p>
      <w:r>
        <w:rPr>
          <w:b/>
          <w:sz w:val="19"/>
        </w:rPr>
        <w:t xml:space="preserve">Übertragbarkeit: </w:t>
      </w:r>
      <w:r>
        <w:rPr>
          <w:sz w:val="19"/>
        </w:rPr>
        <w:t>Australische und europäische Systeme, aber Barrieren (Fachpersonal, Settings) sind auch in Deutschland relevant.</w:t>
      </w:r>
    </w:p>
    <w:p>
      <w:r>
        <w:rPr>
          <w:color w:val="5A7D3A"/>
          <w:sz w:val="18"/>
        </w:rPr>
        <w:t>https://pubmed.ncbi.nlm.nih.gov/42886011/</w:t>
      </w:r>
    </w:p>
    <w:p>
      <w:pPr>
        <w:pStyle w:val="Heading2"/>
      </w:pPr>
      <w:r>
        <w:t>SARS-CoV-2-Impfschutz in der Bevölkerung: Serologische Querschnittmessung vor Omicron</w:t>
      </w:r>
    </w:p>
    <w:p>
      <w:r>
        <w:rPr>
          <w:i/>
          <w:color w:val="666666"/>
          <w:sz w:val="18"/>
        </w:rPr>
        <w:t>Yang Y et al.  ·  PLoS One  ·  15.10.2026  ·  PMID 42879418</w:t>
      </w:r>
    </w:p>
    <w:p>
      <w:r>
        <w:t>Längsschnittstudie bei 156 Serumproben von 117 Teilnehmern (HIVE-Kohorte) mit Multiplex-Elektrochemilumineszenz (ECL), ACE2-Hemmungsassays und Pseudoviral-Neutralisationstests für Varianten-spezifische IgG (Juli–Dezember 2021).</w:t>
      </w:r>
    </w:p>
    <w:p>
      <w:r>
        <w:rPr>
          <w:b/>
        </w:rPr>
        <w:t xml:space="preserve">Ergebnis: </w:t>
      </w:r>
      <w:r>
        <w:t>Hohe Korrelationen zwischen ECL, ACE2 und PN (0,81–0,95). ROC-Analysen: ECL IgG diskriminiert Impfstatus (AUC 0,84–0,88, Sensitivität 0,88–0,91, Spezifität 0,87–0,88); ACE2 variabler (AUC 0,53–0,96). IgG-Konzentrationen stiegen mit Alter, plateau in frühem Erwachsenenalter; präzise Schätzungen für junge Altersgruppen wegen kleiner Stichproben begrenzt.</w:t>
      </w:r>
    </w:p>
    <w:p>
      <w:r>
        <w:rPr>
          <w:b/>
          <w:sz w:val="19"/>
        </w:rPr>
        <w:t xml:space="preserve">Übertragbarkeit: </w:t>
      </w:r>
      <w:r>
        <w:rPr>
          <w:sz w:val="19"/>
        </w:rPr>
        <w:t>USA-Kohorte; Serologie-Methodik auf Deutschland übertragbar, aber Bevölkerungsdaten kontextabhängig.</w:t>
      </w:r>
    </w:p>
    <w:p>
      <w:r>
        <w:rPr>
          <w:color w:val="5A7D3A"/>
          <w:sz w:val="18"/>
        </w:rPr>
        <w:t>https://pubmed.ncbi.nlm.nih.gov/42879418/</w:t>
      </w:r>
    </w:p>
    <w:p>
      <w:pPr>
        <w:pStyle w:val="Heading2"/>
      </w:pPr>
      <w:r>
        <w:t>CAR-T-Persistenz vorhersagt Ansprechen auf Salvage-Bestrahlung bei lymphomrezidiv</w:t>
      </w:r>
    </w:p>
    <w:p>
      <w:r>
        <w:rPr>
          <w:i/>
          <w:color w:val="666666"/>
          <w:sz w:val="18"/>
        </w:rPr>
        <w:t>Fan J et al.  ·  Acta Oncol  ·  17.09.2026  ·  PMID 42752612</w:t>
      </w:r>
    </w:p>
    <w:p>
      <w:r>
        <w:t>Retrospektive Analyse von 13 DLBCL-Patienten (18 Läsionen), die nach CAR-T-Therapie rezidiviert und eine Salvage-Bestrahlung erhielten, mit CAR-Transgene-Verfolgung.</w:t>
      </w:r>
    </w:p>
    <w:p>
      <w:r>
        <w:rPr>
          <w:b/>
        </w:rPr>
        <w:t xml:space="preserve">Ergebnis: </w:t>
      </w:r>
      <w:r>
        <w:t>Lokales Ansprechrate 83 % (15/18 Läsionen). CAR-Transgene-Muster bei Rezidiv: erhöht (n=4), persistierend &gt;6 Monate (n=4), abnehmend (n=5). Lokales Ansprechrate 100 % bzw. 100 % vs. 57 %; 12-Monats-Kontrolle 83 %, 100 %, 14 %; 12-Monats-Gesamtüberleben 100 %, 100 %, 20 %. Toxizität Grad ≤2. Autoren betonen hypothesengenerierendes Design, Validierung in größeren Kohorten erforderlich.</w:t>
      </w:r>
    </w:p>
    <w:p>
      <w:r>
        <w:rPr>
          <w:b/>
          <w:sz w:val="19"/>
        </w:rPr>
        <w:t xml:space="preserve">Übertragbarkeit: </w:t>
      </w:r>
      <w:r>
        <w:rPr>
          <w:sz w:val="19"/>
        </w:rPr>
        <w:t>Deutsche Klinikdaten (Köln), vergleichbares Universitätssystem.</w:t>
      </w:r>
    </w:p>
    <w:p>
      <w:r>
        <w:rPr>
          <w:color w:val="5A7D3A"/>
          <w:sz w:val="18"/>
        </w:rPr>
        <w:t>https://pubmed.ncbi.nlm.nih.gov/42752612/</w:t>
      </w:r>
    </w:p>
    <w:p>
      <w:pPr>
        <w:pStyle w:val="Heading2"/>
      </w:pPr>
      <w:r>
        <w:t>CD19-CAR-T-Therapie bei therapierefraktärer rheumatoider Arthritis: klinische Machbarkeit</w:t>
      </w:r>
    </w:p>
    <w:p>
      <w:r>
        <w:rPr>
          <w:i/>
          <w:color w:val="666666"/>
          <w:sz w:val="18"/>
        </w:rPr>
        <w:t>Albach FN et al.  ·  Nat Med  ·  27.08.2026  ·  PMID 42661098</w:t>
      </w:r>
    </w:p>
    <w:p>
      <w:r>
        <w:t>Phase-1-Studie zur Sicherheit und Wirksamkeit der autologen CD19-CAR-T-Zelltherapie (mivocabtagene autoleucel) bei 6 Patienten mit schwerer, therapieresistenter anti-CCP-positiver rheumatoider Arthritis.</w:t>
      </w:r>
    </w:p>
    <w:p>
      <w:r>
        <w:rPr>
          <w:b/>
        </w:rPr>
        <w:t xml:space="preserve">Ergebnis: </w:t>
      </w:r>
      <w:r>
        <w:t>Zytokerin-Freisetzungssyndrom (CRS) bei allen 6 Patienten, begrenzt auf Grad 1–2; kein ICANS oder schwere Nebenwirkungen außer einer Grad-3-Transaminase-Elevation (resolviert). Klinisch: Krankheitsaktivität bei allen Patienten verbessert (medianer DAS28-CRP-Rückgang 34 %), ACR-70-Response bei 3/6, Autoantikörper-Serokonversion bei 4–5/6. Arzneimittel-induzierte B-Zell-Depletion mit Persistenz.</w:t>
      </w:r>
    </w:p>
    <w:p>
      <w:r>
        <w:rPr>
          <w:b/>
          <w:sz w:val="19"/>
        </w:rPr>
        <w:t xml:space="preserve">Übertragbarkeit: </w:t>
      </w:r>
      <w:r>
        <w:rPr>
          <w:sz w:val="19"/>
        </w:rPr>
        <w:t>Deutsches Zentrum-Setting (Charité Berlin), deutsche Patienten, Sozialversicherungssystem vergleichbar.</w:t>
      </w:r>
    </w:p>
    <w:p>
      <w:r>
        <w:rPr>
          <w:color w:val="5A7D3A"/>
          <w:sz w:val="18"/>
        </w:rPr>
        <w:t>https://pubmed.ncbi.nlm.nih.gov/42661098/</w:t>
      </w:r>
    </w:p>
    <w:p>
      <w:pPr>
        <w:pStyle w:val="Heading2"/>
      </w:pPr>
      <w:r>
        <w:t>HPV-L2-Vakzine: Schutzwirkung unter Alltagsbedingungen hängt von Prior-Exposition ab</w:t>
      </w:r>
    </w:p>
    <w:p>
      <w:r>
        <w:rPr>
          <w:i/>
          <w:color w:val="666666"/>
          <w:sz w:val="18"/>
        </w:rPr>
        <w:t>Alvarez J et al.  ·  J Virol  ·  22.09.2026  ·  PMID 42627231</w:t>
      </w:r>
    </w:p>
    <w:p>
      <w:r>
        <w:t>Phase-1-Studie bei 20 gesunden Probanden mit AAVLP-HPV-Vakzine (20 μg) zur Immunogenität und Schutzübertragung gegen multiple HPV-Genotypen.</w:t>
      </w:r>
    </w:p>
    <w:p>
      <w:r>
        <w:rPr>
          <w:b/>
        </w:rPr>
        <w:t xml:space="preserve">Ergebnis: </w:t>
      </w:r>
      <w:r>
        <w:t>AAVLP-HPV gut verträglich, induzierte modest L2-spezifische Antikörper, die in-vitro HPV16, HPV31, HPV5 neutralisierten. Nach passivem Serumtransfer in Mäuse: Schutz gegen HPV16, HPV31, HPV5, nicht HPV76. HPV-naive Probanden benötigten 3 Dosen für Schutz, vorher exponierte 2 Dosen mit höheren Titern. Prior-AAV2-Exposition verminderte L2-Neutralisations-Antikörper und Schutz deutlich (Original-Antigenic-Sin-Effekt).</w:t>
      </w:r>
    </w:p>
    <w:p>
      <w:r>
        <w:rPr>
          <w:b/>
          <w:sz w:val="19"/>
        </w:rPr>
        <w:t xml:space="preserve">Übertragbarkeit: </w:t>
      </w:r>
      <w:r>
        <w:rPr>
          <w:sz w:val="19"/>
        </w:rPr>
        <w:t>USA-Studie, Sicherheit transferierbar; Prior-Exposition-Effekte auch in Deutschland relevant.</w:t>
      </w:r>
    </w:p>
    <w:p>
      <w:r>
        <w:rPr>
          <w:color w:val="5A7D3A"/>
          <w:sz w:val="18"/>
        </w:rPr>
        <w:t>https://pubmed.ncbi.nlm.nih.gov/42627231/</w:t>
      </w:r>
    </w:p>
    <w:p>
      <w:pPr>
        <w:pStyle w:val="Heading1"/>
      </w:pPr>
      <w:r>
        <w:t>Aufgenommen am 17.10.2026</w:t>
      </w:r>
    </w:p>
    <w:p>
      <w:pPr>
        <w:pStyle w:val="Heading2"/>
      </w:pPr>
      <w:r>
        <w:t>HPV-Impfung: Wissenlücken bei Eltern und fehlende Empfehlungsrate bei Ärzten</w:t>
      </w:r>
    </w:p>
    <w:p>
      <w:r>
        <w:rPr>
          <w:i/>
          <w:color w:val="666666"/>
          <w:sz w:val="18"/>
        </w:rPr>
        <w:t>Schmid-Küpke NK et al.  ·  Euro Surveill  ·  Okt. 2026  ·  PMID 42885489</w:t>
      </w:r>
    </w:p>
    <w:p>
      <w:r>
        <w:t>Telefonische Befragung von 1.508 Eltern und 503 Kinderärzten in Deutschland (Herbst 2023) zur HPV-Impfbereitschaft, Wissenslücken und Beratungspraxis.</w:t>
      </w:r>
    </w:p>
    <w:p>
      <w:r>
        <w:rPr>
          <w:b/>
        </w:rPr>
        <w:t xml:space="preserve">Ergebnis: </w:t>
      </w:r>
      <w:r>
        <w:t>Nur 34,5 % der Kinder waren bereits HPV-geimpft; 35,2 % der Eltern waren Vaccine Hesitant, 5,6 % lehnten ab. Obwohl 97 % der Ärzte angaben, die Impfung zu empfehlen, erinnerten sich nur 43,7 % der Eltern an eine Empfehlung. Eltern unterschätzten die Krebsprävention durch alternative Maßnahmen und unterschätzten das HPV-Infektionsrisiko. Ärztliche Empfehlungen waren der stärkste Einflussfaktor auf Impfentscheidungen.</w:t>
      </w:r>
    </w:p>
    <w:p>
      <w:r>
        <w:rPr>
          <w:b/>
          <w:sz w:val="19"/>
        </w:rPr>
        <w:t xml:space="preserve">Übertragbarkeit: </w:t>
      </w:r>
      <w:r>
        <w:rPr>
          <w:sz w:val="19"/>
        </w:rPr>
        <w:t>Deutschland, repräsentative Stichprobe, vergleichbare Impfkalender-Strukturen</w:t>
      </w:r>
    </w:p>
    <w:p>
      <w:r>
        <w:rPr>
          <w:color w:val="5A7D3A"/>
          <w:sz w:val="18"/>
        </w:rPr>
        <w:t>https://pubmed.ncbi.nlm.nih.gov/42885489/</w:t>
      </w:r>
    </w:p>
    <w:p>
      <w:pPr>
        <w:pStyle w:val="Heading2"/>
      </w:pPr>
      <w:r>
        <w:t>COVID-19 bei Erwachsenen mit intellektueller Behinderung: höhere Sterblichkeit trotz gleicher Impfquoten</w:t>
      </w:r>
    </w:p>
    <w:p>
      <w:r>
        <w:rPr>
          <w:i/>
          <w:color w:val="666666"/>
          <w:sz w:val="18"/>
        </w:rPr>
        <w:t>Sandberg M et al.  ·  BMC Public Health  ·  15.10.2026  ·  PMID 42881375</w:t>
      </w:r>
    </w:p>
    <w:p>
      <w:r>
        <w:t>Register-basierte Kohortenstudie in Schweden (2020–2021): Vergleich von COVID-19-Diagnosen, Hospitalisierungen und Todesfällen zwischen 14.046 Personen mit intellektueller Behinderung (ID) und 1.157.138 Allgemeinbevölkerung.</w:t>
      </w:r>
    </w:p>
    <w:p>
      <w:r>
        <w:rPr>
          <w:b/>
        </w:rPr>
        <w:t xml:space="preserve">Ergebnis: </w:t>
      </w:r>
      <w:r>
        <w:t>Menschen mit ID hatten höheres Risiko für COVID-19-Diagnose, aber niedrigere Laborbestätigung. Hospitalisierungsrisiko bei Erwachsenen und älteren Menschen mit ID höher in beiden Jahren 2020–2021. Impfquoten vergleichbar, aber Mortalität bei COVID-19 höher in der ID-Gruppe. Schwedische COVID-19-Strategie zu Impfung und Priorisierung funktionierte für diese Gruppe wie beabsichtigt.</w:t>
      </w:r>
    </w:p>
    <w:p>
      <w:r>
        <w:rPr>
          <w:b/>
          <w:sz w:val="19"/>
        </w:rPr>
        <w:t xml:space="preserve">Übertragbarkeit: </w:t>
      </w:r>
      <w:r>
        <w:rPr>
          <w:sz w:val="19"/>
        </w:rPr>
        <w:t>Skandinavien, Impfregister-Daten, Versorgungsstruktur nicht direkt auf Deutschland übertragbar</w:t>
      </w:r>
    </w:p>
    <w:p>
      <w:r>
        <w:rPr>
          <w:color w:val="5A7D3A"/>
          <w:sz w:val="18"/>
        </w:rPr>
        <w:t>https://pubmed.ncbi.nlm.nih.gov/42881375/</w:t>
      </w:r>
    </w:p>
    <w:p>
      <w:pPr>
        <w:pStyle w:val="Heading2"/>
      </w:pPr>
      <w:r>
        <w:t>Rotavirus-Impfstoff ROTASIIL senkt Hospitalisierungsrisiko bei Kindern</w:t>
      </w:r>
    </w:p>
    <w:p>
      <w:r>
        <w:rPr>
          <w:i/>
          <w:color w:val="666666"/>
          <w:sz w:val="18"/>
        </w:rPr>
        <w:t>Chaudhary VS et al.  ·  Nat Commun  ·  15.09.2026  ·  PMID 42881148</w:t>
      </w:r>
    </w:p>
    <w:p>
      <w:r>
        <w:t>Register-gestützte Fall-Kontroll-Studie in 32 indischen Krankenhäusern (2019–2023): Effektivitätsmessung der drei Dosen ROTASIIL gegen Rotavirus-Gastroenteritis bei Kindern unter 23 Monaten mittels Test-Negative-Design.</w:t>
      </w:r>
    </w:p>
    <w:p>
      <w:r>
        <w:rPr>
          <w:b/>
        </w:rPr>
        <w:t xml:space="preserve">Ergebnis: </w:t>
      </w:r>
      <w:r>
        <w:t>Bei vollständiger Serie (3 Dosen): bereinigte Impfeffektivität 52 % (95%-KI 32–66) gegen Hospitalisierung; bei jüngeren Kindern (3–5 Monate) 88 % (53–97). Gegen moderate Rotavirus-Gastroenteritis 56 % (11–79), gegen schwere Form 54 % (31–70). Mit mindestens einer Dosis: 45 % (26–60) bei 1–23 Monaten. Höchste genotyp-spezifische Effektivität gegen G1P[8] mit 62 % (29–80).</w:t>
      </w:r>
    </w:p>
    <w:p>
      <w:r>
        <w:rPr>
          <w:b/>
          <w:sz w:val="19"/>
        </w:rPr>
        <w:t xml:space="preserve">Übertragbarkeit: </w:t>
      </w:r>
      <w:r>
        <w:rPr>
          <w:sz w:val="19"/>
        </w:rPr>
        <w:t>Indien, Routineversorgung, vergleichbar mit Ländern mit ähnlicher Impfabdeckung</w:t>
      </w:r>
    </w:p>
    <w:p>
      <w:r>
        <w:rPr>
          <w:color w:val="5A7D3A"/>
          <w:sz w:val="18"/>
        </w:rPr>
        <w:t>https://pubmed.ncbi.nlm.nih.gov/42881148/</w:t>
      </w:r>
    </w:p>
    <w:p>
      <w:pPr>
        <w:pStyle w:val="Heading2"/>
      </w:pPr>
      <w:r>
        <w:t>Tollwutimpfung in Ägypten: geringe Impfquoten trotz positiver Einstellung der Bevölkerung</w:t>
      </w:r>
    </w:p>
    <w:p>
      <w:r>
        <w:rPr>
          <w:i/>
          <w:color w:val="666666"/>
          <w:sz w:val="18"/>
        </w:rPr>
        <w:t>Helal MB et al.  ·  BMC Public Health  ·  15.10.2026  ·  PMID 42875760</w:t>
      </w:r>
    </w:p>
    <w:p>
      <w:r>
        <w:t>Landesweite Querschnittsbefragung von 1.777 Personen (2024) in ägyptischen Universitätskliniken zu Wissen, Einstellung und Praxis bezüglich Tollwut und Tollwutprophylaxe (prä- und postexpositionell).</w:t>
      </w:r>
    </w:p>
    <w:p>
      <w:r>
        <w:rPr>
          <w:b/>
        </w:rPr>
        <w:t xml:space="preserve">Ergebnis: </w:t>
      </w:r>
      <w:r>
        <w:t>Nur 42,8 % der Befragten hatten gutes Wissen über Tollwut und Prophylaxe; 88,5 % Positive Einstellung. Unter 173 Personen mit Tierbisskontakt erhielten 18,5 % (n=32) keine postexpositionelle Prophylaxe und 17 % (n=24) vollendeten den Impfplan nicht. Präexpositionelle Impfung nur 4,3 % bei hochriskanten Personen. Hauptbarrieren: Wissensmangel über Impfstoff (82,4 %), fehlende Kenntnisse über Tollwut (81,7 %), mangelnde Infrastruktur (43,1 %).</w:t>
      </w:r>
    </w:p>
    <w:p>
      <w:r>
        <w:rPr>
          <w:b/>
          <w:sz w:val="19"/>
        </w:rPr>
        <w:t xml:space="preserve">Übertragbarkeit: </w:t>
      </w:r>
      <w:r>
        <w:rPr>
          <w:sz w:val="19"/>
        </w:rPr>
        <w:t>Ägypten, Entwicklungsland-Kontext, begrenzt übertragbar auf Deutschland</w:t>
      </w:r>
    </w:p>
    <w:p>
      <w:r>
        <w:rPr>
          <w:color w:val="5A7D3A"/>
          <w:sz w:val="18"/>
        </w:rPr>
        <w:t>https://pubmed.ncbi.nlm.nih.gov/42875760/</w:t>
      </w:r>
    </w:p>
    <w:p>
      <w:pPr>
        <w:pStyle w:val="Heading2"/>
      </w:pPr>
      <w:r>
        <w:t>COVID-19-Impfstoff-Sicherheit: Einzelfallbericht zeigt Grenzen der Kausalitätsbewertung</w:t>
      </w:r>
    </w:p>
    <w:p>
      <w:r>
        <w:rPr>
          <w:i/>
          <w:color w:val="666666"/>
          <w:sz w:val="18"/>
        </w:rPr>
        <w:t>Siebner AS et al.  ·  Philos Ethics Humanit Med  ·  01.10.2026  ·  PMID 42823741</w:t>
      </w:r>
    </w:p>
    <w:p>
      <w:r>
        <w:t>Diskussionsbeitrag (Deutschland, UK, Italien, Kanada, USA, Ägypten) zur epistemischen Vorsicht bei der Bewertung seltener schwerer unerwünschter Ereignisse nach COVID-19-mRNA-Impfung; Fallbeispiel: autoptisch bestätigte Enzephalitis und Myokarditis nach BNT162b2.</w:t>
      </w:r>
    </w:p>
    <w:p>
      <w:r>
        <w:rPr>
          <w:b/>
        </w:rPr>
        <w:t xml:space="preserve">Ergebnis: </w:t>
      </w:r>
      <w:r>
        <w:t>Anwendung von Bradford Hills Kriterien auf einen Autopsiebericht zeigte partielle, nicht schlüssige Evidenz: ein Kriterium unterstützte Kausalität, sieben waren teilweise gestützt, eines nicht. Die Analyse deutet, ohne zu beweisen, auf einen möglichen Kausalzusammenhang hin. Autoren betonen: Abwesenheit von Nukleokapsid-Protein liefert keine definitive Evidenz gegen Impfursprung; weitere Analysen sind erforderlich.</w:t>
      </w:r>
    </w:p>
    <w:p>
      <w:r>
        <w:rPr>
          <w:b/>
          <w:sz w:val="19"/>
        </w:rPr>
        <w:t xml:space="preserve">Übertragbarkeit: </w:t>
      </w:r>
      <w:r>
        <w:rPr>
          <w:sz w:val="19"/>
        </w:rPr>
        <w:t>Überblick über Sicherheitsbewertungsmethoden, keine neuen Versorgungsdaten</w:t>
      </w:r>
    </w:p>
    <w:p>
      <w:r>
        <w:rPr>
          <w:color w:val="5A7D3A"/>
          <w:sz w:val="18"/>
        </w:rPr>
        <w:t>https://pubmed.ncbi.nlm.nih.gov/42823741/</w:t>
      </w:r>
    </w:p>
    <w:p>
      <w:pPr>
        <w:pStyle w:val="Heading1"/>
      </w:pPr>
      <w:r>
        <w:t>Aufgenommen am 16.10.2026</w:t>
      </w:r>
    </w:p>
    <w:p>
      <w:pPr>
        <w:pStyle w:val="Heading2"/>
      </w:pPr>
      <w:r>
        <w:t>Zweisprachige digitale Kampagne zur COVID-19-Impfung bei vietnamesisch-amerikanischen Gemeinden</w:t>
      </w:r>
    </w:p>
    <w:p>
      <w:r>
        <w:rPr>
          <w:i/>
          <w:color w:val="666666"/>
          <w:sz w:val="18"/>
        </w:rPr>
        <w:t>Tehami S et al.  ·  J Med Internet Res  ·  15.10.2026  ·  PMID 42879767</w:t>
      </w:r>
    </w:p>
    <w:p>
      <w:r>
        <w:t>Bewertung einer bilingualen (Englisch/Vietnamesisch) digitalen Kampagne über Google Display &amp; Video 360 zur Förderung von COVID-19-Impfung und Studienteilnahme in Texas.</w:t>
      </w:r>
    </w:p>
    <w:p>
      <w:r>
        <w:rPr>
          <w:b/>
        </w:rPr>
        <w:t xml:space="preserve">Ergebnis: </w:t>
      </w:r>
      <w:r>
        <w:t>4,97 Millionen Impressionen, ca. 1,4 Millionen eindeutige Nutzer. Vietnamesische Anzeigen: 0,105 Prozent Click-through-Rate vs. Englisch 0,046 Prozent (RR 2,29, p&lt;0,001). Mobile Platzierungen übertroffen Desktop. Kosten pro Klick 2,35 USD, CPM 1,45 USD. Direkte Impfquoten-Effekte nicht gemessen.</w:t>
      </w:r>
    </w:p>
    <w:p>
      <w:r>
        <w:rPr>
          <w:b/>
          <w:sz w:val="19"/>
        </w:rPr>
        <w:t xml:space="preserve">Übertragbarkeit: </w:t>
      </w:r>
      <w:r>
        <w:rPr>
          <w:sz w:val="19"/>
        </w:rPr>
        <w:t>USA, Sprachenminderheiten; Engagement-Metriken, keine Versorgungswirksamkeit gemessen</w:t>
      </w:r>
    </w:p>
    <w:p>
      <w:r>
        <w:rPr>
          <w:color w:val="5A7D3A"/>
          <w:sz w:val="18"/>
        </w:rPr>
        <w:t>https://pubmed.ncbi.nlm.nih.gov/42879767/</w:t>
      </w:r>
    </w:p>
    <w:p>
      <w:pPr>
        <w:pStyle w:val="Heading2"/>
      </w:pPr>
      <w:r>
        <w:t>Keuchhusten-Impfeffektivität bei Kindern während Ausbruch in Alaska 96 Prozent</w:t>
      </w:r>
    </w:p>
    <w:p>
      <w:r>
        <w:rPr>
          <w:i/>
          <w:color w:val="666666"/>
          <w:sz w:val="18"/>
        </w:rPr>
        <w:t>Newell K et al.  ·  MMWR Morb Mortal Wkly Rep  ·  15.10.2026  ·  PMID 42879706</w:t>
      </w:r>
    </w:p>
    <w:p>
      <w:r>
        <w:t>Untersuchung der Wirksamkeit der DTaP-Impfung gegen Keuchhusten bei Kindern während eines Ausbruchs 2024 in Alaska.</w:t>
      </w:r>
    </w:p>
    <w:p>
      <w:r>
        <w:rPr>
          <w:b/>
        </w:rPr>
        <w:t xml:space="preserve">Ergebnis: </w:t>
      </w:r>
      <w:r>
        <w:t>Vollständige 3-Dosis-Serie: 96,2 Prozent Schutz. Teilgeimpfte (1–2 Dosen): 85,3 Prozent. Ungeimpfte hatten 26-fach erhöhtes Erkrankungsrisiko (adjustiertes OR 26,1). Befunde unterstreichen die Notwendigkeit vollständiger Impfserien zum Schutz vor Keuchhusten.</w:t>
      </w:r>
    </w:p>
    <w:p>
      <w:r>
        <w:rPr>
          <w:b/>
          <w:sz w:val="19"/>
        </w:rPr>
        <w:t xml:space="preserve">Übertragbarkeit: </w:t>
      </w:r>
      <w:r>
        <w:rPr>
          <w:sz w:val="19"/>
        </w:rPr>
        <w:t>USA-Daten, Impfeffektivität unter Alltagsbedingungen übertragbar auf vergleichbare Gesundheitssysteme</w:t>
      </w:r>
    </w:p>
    <w:p>
      <w:r>
        <w:rPr>
          <w:color w:val="5A7D3A"/>
          <w:sz w:val="18"/>
        </w:rPr>
        <w:t>https://pubmed.ncbi.nlm.nih.gov/42879706/</w:t>
      </w:r>
    </w:p>
    <w:p>
      <w:pPr>
        <w:pStyle w:val="Heading2"/>
      </w:pPr>
      <w:r>
        <w:t>Apothekenimpfung in Spanien: Europäischer Evidenzbefund für höhere Impfquoten</w:t>
      </w:r>
    </w:p>
    <w:p>
      <w:r>
        <w:rPr>
          <w:i/>
          <w:color w:val="666666"/>
          <w:sz w:val="18"/>
        </w:rPr>
        <w:t>Fernández Otero MD et al.  ·  Rev Esp Salud Publica  ·  13.10.2026  ·  PMID 42879310</w:t>
      </w:r>
    </w:p>
    <w:p>
      <w:r>
        <w:t>Analyse der Gründe, warum Spanien trotz europäischer Evidenz keine Apotheken-Impfungen zulässt; Prüfung von Qualifikations-, Systembeitrags- und Abdeckungs-Argumenten.</w:t>
      </w:r>
    </w:p>
    <w:p>
      <w:r>
        <w:rPr>
          <w:b/>
        </w:rPr>
        <w:t xml:space="preserve">Ergebnis: </w:t>
      </w:r>
      <w:r>
        <w:t>Keine objektiv-wissenschaftlichen Gründe gefunden, die Apotheken-Impfungen abrahmen würden. Farmazeutische Ausbildung in Spanien vergleichbar mit anderen EU-Ländern. Apotheken-Netzwerk könnte Wert für NVS-Leistungen erbringen. Impfquoten nicht bereits befriedigend. Empfehlung: Spanien sollte Apotheker-Kollaboration in Impfprogrammen erwägen.</w:t>
      </w:r>
    </w:p>
    <w:p>
      <w:r>
        <w:rPr>
          <w:b/>
          <w:sz w:val="19"/>
        </w:rPr>
        <w:t xml:space="preserve">Übertragbarkeit: </w:t>
      </w:r>
      <w:r>
        <w:rPr>
          <w:sz w:val="19"/>
        </w:rPr>
        <w:t>Spanien/Europa, vergleichbares System; Zugangsbarriere Regelwerk, nicht Kompetenz</w:t>
      </w:r>
    </w:p>
    <w:p>
      <w:r>
        <w:rPr>
          <w:color w:val="5A7D3A"/>
          <w:sz w:val="18"/>
        </w:rPr>
        <w:t>https://pubmed.ncbi.nlm.nih.gov/42879310/</w:t>
      </w:r>
    </w:p>
    <w:p>
      <w:pPr>
        <w:pStyle w:val="Heading2"/>
      </w:pPr>
      <w:r>
        <w:t>H1N1-Impfung und Narkolepsie: Biomarker-Signale in schwedisch-finnischer Kohorte</w:t>
      </w:r>
    </w:p>
    <w:p>
      <w:r>
        <w:rPr>
          <w:i/>
          <w:color w:val="666666"/>
          <w:sz w:val="18"/>
        </w:rPr>
        <w:t>Lafta MS et al.  ·  Sleep Med  ·  15.09.2026  ·  PMID 42748496</w:t>
      </w:r>
    </w:p>
    <w:p>
      <w:r>
        <w:t>Proteomic- und Transkriptom-Analyse von Serum-Biomarkern bei Narkolepsie-Patienten aus H1N1-Pandemrix-geimpften Kohorten (Schweden, Finnland 2009–2010).</w:t>
      </w:r>
    </w:p>
    <w:p>
      <w:r>
        <w:rPr>
          <w:b/>
        </w:rPr>
        <w:t xml:space="preserve">Ergebnis: </w:t>
      </w:r>
      <w:r>
        <w:t>Sechs überlappende Proteine mit signifikanten Unterschieden zwischen Narkolepsie-Typ-1-Patienten und Kontrollen: UNC5C, VWC2, CPA2, GFRα-1, CLEC10A (herunterreguliert), HAGH (unterschiedliche Richtung). Befunde explorativ und hypothesen-generierend, keine etablierten Biomarker.</w:t>
      </w:r>
    </w:p>
    <w:p>
      <w:r>
        <w:rPr>
          <w:b/>
          <w:sz w:val="19"/>
        </w:rPr>
        <w:t xml:space="preserve">Übertragbarkeit: </w:t>
      </w:r>
      <w:r>
        <w:rPr>
          <w:sz w:val="19"/>
        </w:rPr>
        <w:t>Skandinavien, bekannter Impfnebenwirkungsfall mit gutem Follow-up; Transferbarkeit auf Sicherheitsmonitoring begrenzt</w:t>
      </w:r>
    </w:p>
    <w:p>
      <w:r>
        <w:rPr>
          <w:color w:val="5A7D3A"/>
          <w:sz w:val="18"/>
        </w:rPr>
        <w:t>https://pubmed.ncbi.nlm.nih.gov/42748496/</w:t>
      </w:r>
    </w:p>
    <w:p>
      <w:pPr>
        <w:pStyle w:val="Heading2"/>
      </w:pPr>
      <w:r>
        <w:t>COVID-19-Impfung bei Krebspatienten unter Checkpoint-Inhibitoren senkt Früh-Mortalität</w:t>
      </w:r>
    </w:p>
    <w:p>
      <w:r>
        <w:rPr>
          <w:i/>
          <w:color w:val="666666"/>
          <w:sz w:val="18"/>
        </w:rPr>
        <w:t>Salem JE et al.  ·  Nat Med  ·  10.09.2026  ·  PMID 42722885</w:t>
      </w:r>
    </w:p>
    <w:p>
      <w:r>
        <w:t>Kohortenstudie an 95.015 Krebspatienten aus französischer Gesundheitsdatenbank zur Assoziation zwischen mRNA-COVID-19-Impfung und Überlebensergebnis bei ICl-Therapie.</w:t>
      </w:r>
    </w:p>
    <w:p>
      <w:r>
        <w:rPr>
          <w:b/>
        </w:rPr>
        <w:t xml:space="preserve">Ergebnis: </w:t>
      </w:r>
      <w:r>
        <w:t>Impfung vor ICl-Start: Hazard Ratio 0,90 (KI 0,87–0,94) für Gesamtmortalität in Monaten 1–3, nach 6 Monaten HR 0,96 (KI 0,93–1,00). Ähnliche Muster nach ICl-Start. Frühe, transiente Assoziation eher als spezifischer mRNA-Effekt, möglicherweise Gesundeneffekt.</w:t>
      </w:r>
    </w:p>
    <w:p>
      <w:r>
        <w:rPr>
          <w:b/>
          <w:sz w:val="19"/>
        </w:rPr>
        <w:t xml:space="preserve">Übertragbarkeit: </w:t>
      </w:r>
      <w:r>
        <w:rPr>
          <w:sz w:val="19"/>
        </w:rPr>
        <w:t>Frankreich (vergleichbares Gesundheitssystem), nationale Datenbank mit vollständiger Verfolgung</w:t>
      </w:r>
    </w:p>
    <w:p>
      <w:r>
        <w:rPr>
          <w:color w:val="5A7D3A"/>
          <w:sz w:val="18"/>
        </w:rPr>
        <w:t>https://pubmed.ncbi.nlm.nih.gov/42722885/</w:t>
      </w:r>
    </w:p>
    <w:p>
      <w:pPr>
        <w:pStyle w:val="Heading1"/>
      </w:pPr>
      <w:r>
        <w:t>Aufgenommen am 15.10.2026</w:t>
      </w:r>
    </w:p>
    <w:p>
      <w:pPr>
        <w:pStyle w:val="Heading2"/>
      </w:pPr>
      <w:r>
        <w:t>HPV-Impfkosten-Analysen: Metho­den bestimmen das Ergebnis mehr als der Impfstoff</w:t>
      </w:r>
    </w:p>
    <w:p>
      <w:r>
        <w:rPr>
          <w:i/>
          <w:color w:val="666666"/>
          <w:sz w:val="18"/>
        </w:rPr>
        <w:t>Kisa A et al.  ·  PLoS One  ·  14.10.2026  ·  PMID 42873751</w:t>
      </w:r>
    </w:p>
    <w:p>
      <w:r>
        <w:t>Scoping Review von 44 ökonomischen Evaluationen zur HPV-Impfung (2003–2025), Analyse von Methodenvielfalt, Treibern der Variation und Übertragbarkeit.</w:t>
      </w:r>
    </w:p>
    <w:p>
      <w:r>
        <w:rPr>
          <w:b/>
        </w:rPr>
        <w:t xml:space="preserve">Ergebnis: </w:t>
      </w:r>
      <w:r>
        <w:t>33 vollständige Kosteneffektivitäts­studien analysiert. Haupttreiber der Variation: Impfstoffpreis, Diskontrate, Herden­immunitäts­annahmen, Kreuzschutz­annahmen, Schwellenwert. Berichtsqualität korrelierte nicht mit methodischer Kreditwürdigkeit. Kostensätze und Screening­kontext bestimmen Übertragbarkeit mehr als reine ICER-Werte. Formale Analysen zu Ein-Dosis-Szenarien emerging, aber Daten zu Langzeitschutz und umsetzungsrelevanten Kosten fehlend.</w:t>
      </w:r>
    </w:p>
    <w:p>
      <w:r>
        <w:rPr>
          <w:b/>
          <w:sz w:val="19"/>
        </w:rPr>
        <w:t xml:space="preserve">Übertragbarkeit: </w:t>
      </w:r>
      <w:r>
        <w:rPr>
          <w:sz w:val="19"/>
        </w:rPr>
        <w:t>Verschiedene Länder, aber Methoden-Abhängigkeit zeigt: direkte Übertragung kostet­eff­ektivitäts­befunde problematisch</w:t>
      </w:r>
    </w:p>
    <w:p>
      <w:r>
        <w:rPr>
          <w:color w:val="5A7D3A"/>
          <w:sz w:val="18"/>
        </w:rPr>
        <w:t>https://pubmed.ncbi.nlm.nih.gov/42873751/</w:t>
      </w:r>
    </w:p>
    <w:p>
      <w:pPr>
        <w:pStyle w:val="Heading2"/>
      </w:pPr>
      <w:r>
        <w:t>RSV-Impfquoten bei älteren US-Amerikanern bleiben niedrig</w:t>
      </w:r>
    </w:p>
    <w:p>
      <w:r>
        <w:rPr>
          <w:i/>
          <w:color w:val="666666"/>
          <w:sz w:val="18"/>
        </w:rPr>
        <w:t>Saundankar V et al.  ·  Hum Vaccin Immunother  ·  14.10.2026  ·  PMID 42872881</w:t>
      </w:r>
    </w:p>
    <w:p>
      <w:r>
        <w:t>Retrospektive Analyse der RSV-Impfquoten bei Medicare-Versicherten ab 65 Jahren in zwei Saisons.</w:t>
      </w:r>
    </w:p>
    <w:p>
      <w:r>
        <w:rPr>
          <w:b/>
        </w:rPr>
        <w:t xml:space="preserve">Ergebnis: </w:t>
      </w:r>
      <w:r>
        <w:t>Insgesamt 21% der ≥65-Jährigen in der Vorsaison 2023/24 geimpft, in Saison 2024/25 sinkend. Höhere Quote bei ≥75-Jährigen. Von 1,7 Mio. Personen, die 2024-Kriterien erfüllten, waren etwa 80% ungeimpft. Impfspitzen im Oktober beider Jahre. Zielgerichtete Strategien zur Erreichung von Hochrisiko-Gruppen erforderlich.</w:t>
      </w:r>
    </w:p>
    <w:p>
      <w:r>
        <w:rPr>
          <w:b/>
          <w:sz w:val="19"/>
        </w:rPr>
        <w:t xml:space="preserve">Übertragbarkeit: </w:t>
      </w:r>
      <w:r>
        <w:rPr>
          <w:sz w:val="19"/>
        </w:rPr>
        <w:t>USA, anderes Versicherungssystem; Befund zur Uptake-Barriere übertragbar, Daten nicht direkt auf Deutschland anwendbar</w:t>
      </w:r>
    </w:p>
    <w:p>
      <w:r>
        <w:rPr>
          <w:color w:val="5A7D3A"/>
          <w:sz w:val="18"/>
        </w:rPr>
        <w:t>https://pubmed.ncbi.nlm.nih.gov/42872881/</w:t>
      </w:r>
    </w:p>
    <w:p>
      <w:pPr>
        <w:pStyle w:val="Heading2"/>
      </w:pPr>
      <w:r>
        <w:t>Kombinimpfstoff gegen Influenza und COVID-19: Potenzial für höhere Impfquoten</w:t>
      </w:r>
    </w:p>
    <w:p>
      <w:r>
        <w:rPr>
          <w:i/>
          <w:color w:val="666666"/>
          <w:sz w:val="18"/>
        </w:rPr>
        <w:t>Schaffner W et al.  ·  Vaccine  ·  14.11.2026  ·  PMID 42790130</w:t>
      </w:r>
    </w:p>
    <w:p>
      <w:r>
        <w:t>Übersichtsarbeit zur Wirkung und Praktikabilität einer kombinierten Influenza-COVID-19-Impfung bei Erwachsenen.</w:t>
      </w:r>
    </w:p>
    <w:p>
      <w:r>
        <w:rPr>
          <w:b/>
        </w:rPr>
        <w:t xml:space="preserve">Ergebnis: </w:t>
      </w:r>
      <w:r>
        <w:t>Kombinimpfstoffe könnten die Akzeptanz durch vereinfachte Dosierung erhöhen und Impfgelegenheiten nicht verpassen. Fachkräfte und Patienten zeigen hohes Interesse; mehrere Kandidaten befinden sich in klinischen Prüfungen. Ein Impfstoff mit optimierter Timing und Virenstamm-Auswahl könnte den Schutz gegen zwei führende respiratorische Erreger stärken.</w:t>
      </w:r>
    </w:p>
    <w:p>
      <w:r>
        <w:rPr>
          <w:b/>
          <w:sz w:val="19"/>
        </w:rPr>
        <w:t xml:space="preserve">Übertragbarkeit: </w:t>
      </w:r>
      <w:r>
        <w:rPr>
          <w:sz w:val="19"/>
        </w:rPr>
        <w:t>Deutschland und andere Länder mit vergleichbarem Zugangsweg; Übertragbarkeit hängt von Empfehlungslogik ab</w:t>
      </w:r>
    </w:p>
    <w:p>
      <w:r>
        <w:rPr>
          <w:color w:val="5A7D3A"/>
          <w:sz w:val="18"/>
        </w:rPr>
        <w:t>https://pubmed.ncbi.nlm.nih.gov/42790130/</w:t>
      </w:r>
    </w:p>
    <w:p>
      <w:pPr>
        <w:pStyle w:val="Heading2"/>
      </w:pPr>
      <w:r>
        <w:t>Impfskepsis bei Haustieren: Vertrauen, Risiko­wahrnehmung und 'natürlicher' Ansatz</w:t>
      </w:r>
    </w:p>
    <w:p>
      <w:r>
        <w:rPr>
          <w:i/>
          <w:color w:val="666666"/>
          <w:sz w:val="18"/>
        </w:rPr>
        <w:t>Bloodworth S et al.  ·  Prev Vet Med  ·  16.09.2026  ·  PMID 42753359</w:t>
      </w:r>
    </w:p>
    <w:p>
      <w:r>
        <w:t>Qualitative Studie mittels Leitfaden­interviews mit 18 Hunde-/Katzen­haltern im UK zu Faktoren, die Impfentscheidungen beeinflussen.</w:t>
      </w:r>
    </w:p>
    <w:p>
      <w:r>
        <w:rPr>
          <w:b/>
        </w:rPr>
        <w:t xml:space="preserve">Ergebnis: </w:t>
      </w:r>
      <w:r>
        <w:t>Drei Kategorien beeinflussen Impfentscheidungen: Vertrauen in tierärztliche Expertise, Wahrnehmung der Impfstoffsicherheit, Gesundheits­verständnis. Halter wägen Impfrisiken gegen Krankheitsrisiken ab, beeinflusst durch persönliche Erfahrung und diverse Informationsquellen. Ein 'natürlicher' Ansatz (Vermeidung synthetischer Stoffe) bei Hundehaltern wirkte sich negativ auf Impfbereitschaft aus. Maßnahmen sollten zielgruppenspezifisch sein.</w:t>
      </w:r>
    </w:p>
    <w:p>
      <w:r>
        <w:rPr>
          <w:b/>
          <w:sz w:val="19"/>
        </w:rPr>
        <w:t xml:space="preserve">Übertragbarkeit: </w:t>
      </w:r>
      <w:r>
        <w:rPr>
          <w:sz w:val="19"/>
        </w:rPr>
        <w:t>Vereinigtes Königreich; Erkenntnisse zu Vaccine Hesitancy-Faktoren übertragbar, aber Kontext Heimtiere unterscheidet sich von Humanmedizin</w:t>
      </w:r>
    </w:p>
    <w:p>
      <w:r>
        <w:rPr>
          <w:color w:val="5A7D3A"/>
          <w:sz w:val="18"/>
        </w:rPr>
        <w:t>https://pubmed.ncbi.nlm.nih.gov/42753359/</w:t>
      </w:r>
    </w:p>
    <w:p>
      <w:pPr>
        <w:pStyle w:val="Heading2"/>
      </w:pPr>
      <w:r>
        <w:t>HPV-Prävalenz sank bei jungen Frauen trotz weiterer Genotypen-Diversität</w:t>
      </w:r>
    </w:p>
    <w:p>
      <w:r>
        <w:rPr>
          <w:i/>
          <w:color w:val="666666"/>
          <w:sz w:val="18"/>
        </w:rPr>
        <w:t>Urbano A et al.  ·  Ann Epidemiol  ·  07.09.2026  ·  PMID 42705395</w:t>
      </w:r>
    </w:p>
    <w:p>
      <w:r>
        <w:t>Querschnittsstudie zur HPV-Infektionshäufigkeit und Genotypverteilung in Spanien nach langjähriger Impfung, vergleichend zwischen Frauen ≤30 Jahren (geimpft) und &gt;30 Jahren (ungeimpft).</w:t>
      </w:r>
    </w:p>
    <w:p>
      <w:r>
        <w:rPr>
          <w:b/>
        </w:rPr>
        <w:t xml:space="preserve">Ergebnis: </w:t>
      </w:r>
      <w:r>
        <w:t>Von 5.885 Frauen: Gesamtprävalenz 39,8%, bei 20–29-Jährigen 57,9%. In der Impfkohorte (≤30J.) war HPV-Prävalenz höher (57,0% vs. 36,8%, p&lt;0,001) als in der Ungeimpften, aber HPV16-Anteil deutlich niedriger mit heterogenerer Genotypverteilung – Vakzine-Effekt auf Zielgenotypen erkennbar.</w:t>
      </w:r>
    </w:p>
    <w:p>
      <w:r>
        <w:rPr>
          <w:b/>
          <w:sz w:val="19"/>
        </w:rPr>
        <w:t xml:space="preserve">Übertragbarkeit: </w:t>
      </w:r>
      <w:r>
        <w:rPr>
          <w:sz w:val="19"/>
        </w:rPr>
        <w:t>Spanien, vergleichbare öffentliche Impfprogramme; Aussage gilt für hochgeimpfte europäische Populationen</w:t>
      </w:r>
    </w:p>
    <w:p>
      <w:r>
        <w:rPr>
          <w:color w:val="5A7D3A"/>
          <w:sz w:val="18"/>
        </w:rPr>
        <w:t>https://pubmed.ncbi.nlm.nih.gov/42705395/</w:t>
      </w:r>
    </w:p>
    <w:p>
      <w:pPr>
        <w:pStyle w:val="Heading2"/>
      </w:pPr>
      <w:r>
        <w:t>Nachverfolgung von Impfnebenwirkungen: Wann lohnt sich der Aufwand?</w:t>
      </w:r>
    </w:p>
    <w:p>
      <w:r>
        <w:rPr>
          <w:i/>
          <w:color w:val="666666"/>
          <w:sz w:val="18"/>
        </w:rPr>
        <w:t>Kara V et al.  ·  Drug Saf  ·  14.08.2026  ·  PMID 42599564</w:t>
      </w:r>
    </w:p>
    <w:p>
      <w:r>
        <w:t>Delphi-Konsensusverfahren mit internationalen Fachleuten zu Szenarien, in denen die Verfolgung von Nebenwirkungsmeldungen die Impfstoffsicherheitsbewertung verbessert.</w:t>
      </w:r>
    </w:p>
    <w:p>
      <w:r>
        <w:rPr>
          <w:b/>
        </w:rPr>
        <w:t xml:space="preserve">Ergebnis: </w:t>
      </w:r>
      <w:r>
        <w:t>Experten identifizierten drei Szenarien mit echtem Mehrwert: Kausalitätsprüfung, Signaldetektion und Risikomanagement. Gering oder kein Nutzen bei bekannten Labelnebenwirkungen, fehlender Kontaktierbarkeit und Fällen, wo zusätzliche Daten das Nutzen-Risiko-Verhältnis nicht ändern würden. Ressourcenschonende, zielgerichtete Verfolgung ersetzt unfokussierte Routine.</w:t>
      </w:r>
    </w:p>
    <w:p>
      <w:r>
        <w:rPr>
          <w:b/>
          <w:sz w:val="19"/>
        </w:rPr>
        <w:t xml:space="preserve">Übertragbarkeit: </w:t>
      </w:r>
      <w:r>
        <w:rPr>
          <w:sz w:val="19"/>
        </w:rPr>
        <w:t>Niederlande, Pharmakovigilanz-System; gilt für alle europäischen Meldewesen</w:t>
      </w:r>
    </w:p>
    <w:p>
      <w:r>
        <w:rPr>
          <w:color w:val="5A7D3A"/>
          <w:sz w:val="18"/>
        </w:rPr>
        <w:t>https://pubmed.ncbi.nlm.nih.gov/42599564/</w:t>
      </w:r>
    </w:p>
    <w:p>
      <w:pPr>
        <w:pStyle w:val="Heading1"/>
      </w:pPr>
      <w:r>
        <w:t>Aufgenommen am 14.10.2026</w:t>
      </w:r>
    </w:p>
    <w:p>
      <w:pPr>
        <w:pStyle w:val="Heading2"/>
      </w:pPr>
      <w:r>
        <w:t>Rabies-Postexpositionsprophylaxe: 86% verzögert, trotz hohem Wissen um Prävention</w:t>
      </w:r>
    </w:p>
    <w:p>
      <w:r>
        <w:rPr>
          <w:i/>
          <w:color w:val="666666"/>
          <w:sz w:val="18"/>
        </w:rPr>
        <w:t>Hailu BK et al.  ·  PLoS Negl Trop Dis  ·  13.10.2026  ·  PMID 42868155</w:t>
      </w:r>
    </w:p>
    <w:p>
      <w:r>
        <w:t>Querschnittsstudie bei 260 Hundebiss-Opfern in Äthiopien zur Zeitverzögerung bei Impfbeginn und assoziierter Faktoren.</w:t>
      </w:r>
    </w:p>
    <w:p>
      <w:r>
        <w:rPr>
          <w:b/>
        </w:rPr>
        <w:t xml:space="preserve">Ergebnis: </w:t>
      </w:r>
      <w:r>
        <w:t>86,1% begannen Impfung nach 48 h (verzögert). Tiefe Bissverletzungen (OR 0,22) und Straßenhunde (OR 0,51) reduzierten Verzögerung. 88,5% kannten Tollwut, 95,4% wussten um Impfnotwendigkeit, 95% hielten Impfung für wirksam; aber fehlte Risikobewusstsein für Verzögerungsfolgen.</w:t>
      </w:r>
    </w:p>
    <w:p>
      <w:r>
        <w:rPr>
          <w:b/>
          <w:sz w:val="19"/>
        </w:rPr>
        <w:t xml:space="preserve">Übertragbarkeit: </w:t>
      </w:r>
      <w:r>
        <w:rPr>
          <w:sz w:val="19"/>
        </w:rPr>
        <w:t>Äthiopien, sehr niedriges Einkommenssetting; Befunde zu Impfverzögerung trotz Wissen zeigen universelles Problem</w:t>
      </w:r>
    </w:p>
    <w:p>
      <w:r>
        <w:rPr>
          <w:color w:val="5A7D3A"/>
          <w:sz w:val="18"/>
        </w:rPr>
        <w:t>https://pubmed.ncbi.nlm.nih.gov/42868155/</w:t>
      </w:r>
    </w:p>
    <w:p>
      <w:pPr>
        <w:pStyle w:val="Heading2"/>
      </w:pPr>
      <w:r>
        <w:t>Masernausbruch Mexiko 2025–2026: Rückkehr trotz früherer Elimination durch Impflücken</w:t>
      </w:r>
    </w:p>
    <w:p>
      <w:r>
        <w:rPr>
          <w:i/>
          <w:color w:val="666666"/>
          <w:sz w:val="18"/>
        </w:rPr>
        <w:t>Mojica-López L et al.  ·  Rev Peru Med Exp Salud Publica  ·  25.08.2026  ·  PMID 42867961</w:t>
      </w:r>
    </w:p>
    <w:p>
      <w:r>
        <w:t>Dokumentarische Analyse zu Masern-Reemergence in Mexiko nach regionaler Elimination 2016: Untersuchung struktureller Faktoren der Ausbruch 2025–2026.</w:t>
      </w:r>
    </w:p>
    <w:p>
      <w:r>
        <w:rPr>
          <w:b/>
        </w:rPr>
        <w:t xml:space="preserve">Ergebnis: </w:t>
      </w:r>
      <w:r>
        <w:t>Endemische Übertragung 1995 unterbrochen, regionale Elimination 2016 erreicht. 2025–2026 Reemergence in Kontexten niedriger Impfquoten, unvollständiger Impfschemata und räumlicher Ungleichheiten im Zugang. Ausbruch konzentrierte sich in Gebieten suboptimaler Abdeckung und höherer sozialer Vulnerabilität.</w:t>
      </w:r>
    </w:p>
    <w:p>
      <w:r>
        <w:rPr>
          <w:b/>
          <w:sz w:val="19"/>
        </w:rPr>
        <w:t xml:space="preserve">Übertragbarkeit: </w:t>
      </w:r>
      <w:r>
        <w:rPr>
          <w:sz w:val="19"/>
        </w:rPr>
        <w:t>Mexiko; zeigt Relevanz für Länder ohne permanentes Impfregister und Überwachungslücken</w:t>
      </w:r>
    </w:p>
    <w:p>
      <w:r>
        <w:rPr>
          <w:color w:val="5A7D3A"/>
          <w:sz w:val="18"/>
        </w:rPr>
        <w:t>https://pubmed.ncbi.nlm.nih.gov/42867961/</w:t>
      </w:r>
    </w:p>
    <w:p>
      <w:pPr>
        <w:pStyle w:val="Heading2"/>
      </w:pPr>
      <w:r>
        <w:t>COVID-19-Impfsicherheit: App-gestützte Pharmakovigilanz mit 732.864 Teilnehmern</w:t>
      </w:r>
    </w:p>
    <w:p>
      <w:r>
        <w:rPr>
          <w:i/>
          <w:color w:val="666666"/>
          <w:sz w:val="18"/>
        </w:rPr>
        <w:t>Kopp L et al.  ·  Vaccine  ·  14.11.2026  ·  PMID 42843285</w:t>
      </w:r>
    </w:p>
    <w:p>
      <w:r>
        <w:t>Prospektive Kohortenstudie zur Erfassung selbstberichteter Nebenwirkungen nach COVID-19-Impfung via Smartphone-App vom Paul-Ehrlich-Institut.</w:t>
      </w:r>
    </w:p>
    <w:p>
      <w:r>
        <w:rPr>
          <w:b/>
        </w:rPr>
        <w:t xml:space="preserve">Ergebnis: </w:t>
      </w:r>
      <w:r>
        <w:t>68% der Impfungen zeigten mindestens eine Nebenwirkung, 88% davon lokale und systemische Reaktogenität. Medizinische Versorgung wurde in 0,36% der Fälle benötigt. Die Ergebnisse bestätigen das bekannte Sicherheitsprofil.</w:t>
      </w:r>
    </w:p>
    <w:p>
      <w:r>
        <w:rPr>
          <w:b/>
          <w:sz w:val="19"/>
        </w:rPr>
        <w:t xml:space="preserve">Übertragbarkeit: </w:t>
      </w:r>
      <w:r>
        <w:rPr>
          <w:sz w:val="19"/>
        </w:rPr>
        <w:t>Deutschland, PEI-Daten, vergleichbar mit nationaler Pharmakovigilanz</w:t>
      </w:r>
    </w:p>
    <w:p>
      <w:r>
        <w:rPr>
          <w:color w:val="5A7D3A"/>
          <w:sz w:val="18"/>
        </w:rPr>
        <w:t>https://pubmed.ncbi.nlm.nih.gov/42843285/</w:t>
      </w:r>
    </w:p>
    <w:p>
      <w:pPr>
        <w:pStyle w:val="Heading2"/>
      </w:pPr>
      <w:r>
        <w:t>MMR-Untererfassung in englischen Hausarztpraxen: 31% der Geimpften nicht elektronisch dokumentiert</w:t>
      </w:r>
    </w:p>
    <w:p>
      <w:r>
        <w:rPr>
          <w:i/>
          <w:color w:val="666666"/>
          <w:sz w:val="18"/>
        </w:rPr>
        <w:t>Sanderson K et al.  ·  Vaccine  ·  14.11.2026  ·  PMID 42810172</w:t>
      </w:r>
    </w:p>
    <w:p>
      <w:r>
        <w:t>Zwei-Stufen-Clusterstudie in England zur Häufigkeit fehlender elektronischer Dokumentation von MMR-Impfungen in digitalen Praxisverwaltungssystemen.</w:t>
      </w:r>
    </w:p>
    <w:p>
      <w:r>
        <w:rPr>
          <w:b/>
        </w:rPr>
        <w:t xml:space="preserve">Ergebnis: </w:t>
      </w:r>
      <w:r>
        <w:t>Bei elektronischer Abfrage erschienen 18,3–31,9% vollgeimpfter Kinder je nach Alter als ungeimpft/teilgeimpft. Selbst nach manueller Aktenprüfung persistierten Impflücken. Die Kodierung war regional unterschiedlich.</w:t>
      </w:r>
    </w:p>
    <w:p>
      <w:r>
        <w:rPr>
          <w:b/>
          <w:sz w:val="19"/>
        </w:rPr>
        <w:t xml:space="preserve">Übertragbarkeit: </w:t>
      </w:r>
      <w:r>
        <w:rPr>
          <w:sz w:val="19"/>
        </w:rPr>
        <w:t>England, digitale Dokumentationssysteme; auf Deutschland übertragbar, da vergleichbare Praxismanagementsysteme</w:t>
      </w:r>
    </w:p>
    <w:p>
      <w:r>
        <w:rPr>
          <w:color w:val="5A7D3A"/>
          <w:sz w:val="18"/>
        </w:rPr>
        <w:t>https://pubmed.ncbi.nlm.nih.gov/42810172/</w:t>
      </w:r>
    </w:p>
    <w:p>
      <w:pPr>
        <w:pStyle w:val="Heading2"/>
      </w:pPr>
      <w:r>
        <w:t>Bildungsniveau und Impfskepsis: Niederländische Metaanalyse zeigt konsistente, aber kleine Unterschiede</w:t>
      </w:r>
    </w:p>
    <w:p>
      <w:r>
        <w:rPr>
          <w:i/>
          <w:color w:val="666666"/>
          <w:sz w:val="18"/>
        </w:rPr>
        <w:t>Boer M et al.  ·  Vaccine  ·  14.11.2026  ·  PMID 42784871</w:t>
      </w:r>
    </w:p>
    <w:p>
      <w:r>
        <w:t>Bayesische Evidenzsynthese von vier niederländischen Studien (n=23.174) zu Zusammenhang zwischen Schulbildung und Impfeinstellungen vor und nach COVID-19-Pandemie.</w:t>
      </w:r>
    </w:p>
    <w:p>
      <w:r>
        <w:rPr>
          <w:b/>
        </w:rPr>
        <w:t xml:space="preserve">Ergebnis: </w:t>
      </w:r>
      <w:r>
        <w:t>Höher Gebildete zeigten konsistent positivere Impfeinstellungen als niedriger Gebildete, aber Unterschiedsmagnitude variierte stark. Longitudinal waren moderate Unterschiede wahrscheinlicher. Einstellungen blieben über die Zeit stabil.</w:t>
      </w:r>
    </w:p>
    <w:p>
      <w:r>
        <w:rPr>
          <w:b/>
          <w:sz w:val="19"/>
        </w:rPr>
        <w:t xml:space="preserve">Übertragbarkeit: </w:t>
      </w:r>
      <w:r>
        <w:rPr>
          <w:sz w:val="19"/>
        </w:rPr>
        <w:t>Niederlande, vergleichbares Versicherungssystem und Dokumentation; hohe Übertragbarkeit auf Deutschland</w:t>
      </w:r>
    </w:p>
    <w:p>
      <w:r>
        <w:rPr>
          <w:color w:val="5A7D3A"/>
          <w:sz w:val="18"/>
        </w:rPr>
        <w:t>https://pubmed.ncbi.nlm.nih.gov/42784871/</w:t>
      </w:r>
    </w:p>
    <w:p>
      <w:pPr>
        <w:pStyle w:val="Heading2"/>
      </w:pPr>
      <w:r>
        <w:t>HPV-Schulimpfung Frankreich: Digitale Nachverfolgung erhöht Einwilligung von 12.023 auf 13.714 (2025)</w:t>
      </w:r>
    </w:p>
    <w:p>
      <w:r>
        <w:rPr>
          <w:i/>
          <w:color w:val="666666"/>
          <w:sz w:val="18"/>
        </w:rPr>
        <w:t>Trin K et al.  ·  Infect Dis Now  ·  18.09.2026  ·  PMID 42759611</w:t>
      </w:r>
    </w:p>
    <w:p>
      <w:r>
        <w:t>Evaluierung von Maßnahmen zur Steigerung elterlicher Zustimmung zur HPV-Impfung von Schülern in Nouvelle-Aquitaine durch Reopening der digitalen Plattform und Echtzeit-Monitoring.</w:t>
      </w:r>
    </w:p>
    <w:p>
      <w:r>
        <w:rPr>
          <w:b/>
        </w:rPr>
        <w:t xml:space="preserve">Ergebnis: </w:t>
      </w:r>
      <w:r>
        <w:t>Septembe 2024: 12.023 Zustimmungen. Nach Reopening der Plattform (Januar–März 2025) mit wöchentlicher Überwachung plus Sozialmarketing-Kampagne: zusätzlich 1.506 Zustimmungen, final 13.714 (10.607 geimpft). Maßnahmen kompensierten Rückgang partiell.</w:t>
      </w:r>
    </w:p>
    <w:p>
      <w:r>
        <w:rPr>
          <w:b/>
          <w:sz w:val="19"/>
        </w:rPr>
        <w:t xml:space="preserve">Übertragbarkeit: </w:t>
      </w:r>
      <w:r>
        <w:rPr>
          <w:sz w:val="19"/>
        </w:rPr>
        <w:t>Frankreich, Schulimpfprogramm; ähnliche Struktur zu deutschen Schulimpfangeboten</w:t>
      </w:r>
    </w:p>
    <w:p>
      <w:r>
        <w:rPr>
          <w:color w:val="5A7D3A"/>
          <w:sz w:val="18"/>
        </w:rPr>
        <w:t>https://pubmed.ncbi.nlm.nih.gov/42759611/</w:t>
      </w:r>
    </w:p>
    <w:p>
      <w:pPr>
        <w:pStyle w:val="Heading1"/>
      </w:pPr>
      <w:r>
        <w:t>Aufgenommen am 13.10.2026</w:t>
      </w:r>
    </w:p>
    <w:p>
      <w:pPr>
        <w:pStyle w:val="Heading2"/>
      </w:pPr>
      <w:r>
        <w:t>Was Ältere in Peking von Grippeimpfung abhält und anzieht</w:t>
      </w:r>
    </w:p>
    <w:p>
      <w:r>
        <w:rPr>
          <w:i/>
          <w:color w:val="666666"/>
          <w:sz w:val="18"/>
        </w:rPr>
        <w:t>Jia M et al.  ·  JAMA Netw Open  ·  01.10.2026  ·  PMID 42862555</w:t>
      </w:r>
    </w:p>
    <w:p>
      <w:r>
        <w:t>Diskrete Wahlexperimente mit 514 Personen über 60 Jahren in zwei Pekinger Bezirken identifizierten Faktoren, die die Bereitschaft zur Grippeimpfung erhöhen oder senken.</w:t>
      </w:r>
    </w:p>
    <w:p>
      <w:r>
        <w:rPr>
          <w:b/>
        </w:rPr>
        <w:t xml:space="preserve">Ergebnis: </w:t>
      </w:r>
      <w:r>
        <w:t>Höhere Impfstoffwirksamkeit (+30,7 Prozentpunkte bei Steigerung von 20 auf 80 Prozent), Telefonerinnerungen und Botschaften zum Schutz von Familienangehörigen erhöhten die Akzeptanz; höhere wahrgenommene Risiken von Nebenwirkungen senkten sie um 20 Prozentpunkte. Nie-Geimpfte zeigten weniger Gewicht auf Wirksamkeit und höhere Sensitivität für Nebenwirkungsrisiken.</w:t>
      </w:r>
    </w:p>
    <w:p>
      <w:r>
        <w:rPr>
          <w:b/>
          <w:sz w:val="19"/>
        </w:rPr>
        <w:t xml:space="preserve">Übertragbarkeit: </w:t>
      </w:r>
      <w:r>
        <w:rPr>
          <w:sz w:val="19"/>
        </w:rPr>
        <w:t>China, Wahlexperiment mit hohem Evidenzlevel, aber andere epidemiologische Ausgangslage und Versorgungsstruktur</w:t>
      </w:r>
    </w:p>
    <w:p>
      <w:r>
        <w:rPr>
          <w:color w:val="5A7D3A"/>
          <w:sz w:val="18"/>
        </w:rPr>
        <w:t>https://pubmed.ncbi.nlm.nih.gov/42862555/</w:t>
      </w:r>
    </w:p>
    <w:p>
      <w:pPr>
        <w:pStyle w:val="Heading2"/>
      </w:pPr>
      <w:r>
        <w:t>Spurenelemente beeinflussen Antikörperantwort auf COVID-19-Impfung bei Rheuma nicht</w:t>
      </w:r>
    </w:p>
    <w:p>
      <w:r>
        <w:rPr>
          <w:i/>
          <w:color w:val="666666"/>
          <w:sz w:val="18"/>
        </w:rPr>
        <w:t>Gadbaan Hama S  ·  J Infect Dev Ctries  ·  30.09.2026  ·  PMID 42858342</w:t>
      </w:r>
    </w:p>
    <w:p>
      <w:r>
        <w:t>Querschnittsstudie mit 79 Rheuma-Patienten und 47 Kontrollen im Irak, die Zink-, Kupfer-, Magnesium- und Ceruloplasmin-Spiegel mit COVID-19-Impfantikörper-Positivität in Beziehung setzte.</w:t>
      </w:r>
    </w:p>
    <w:p>
      <w:r>
        <w:rPr>
          <w:b/>
        </w:rPr>
        <w:t xml:space="preserve">Ergebnis: </w:t>
      </w:r>
      <w:r>
        <w:t>Signifikante Unterschiede in Spurenelementspiegeln zwischen Geimpften und Ungeimpften (p &lt; 0,05), aber keine signifikanten Assoziationen zwischen IgG-Positivität und Spurenelemantkatus in einer Gruppe (p &gt; 0,05). DMARD-Therapie war nicht signifikant mit IgG-Response assoziiert (p = 0,439). Breite humorale Immunität trotz unterschiedlicher Nährstoff- und therapeutischer Profile.</w:t>
      </w:r>
    </w:p>
    <w:p>
      <w:r>
        <w:rPr>
          <w:b/>
          <w:sz w:val="19"/>
        </w:rPr>
        <w:t xml:space="preserve">Übertragbarkeit: </w:t>
      </w:r>
      <w:r>
        <w:rPr>
          <w:sz w:val="19"/>
        </w:rPr>
        <w:t>Irak, einfaches Querschnitt-Design, aber klinisch relevante Frage für Immunsupprimierte</w:t>
      </w:r>
    </w:p>
    <w:p>
      <w:r>
        <w:rPr>
          <w:color w:val="5A7D3A"/>
          <w:sz w:val="18"/>
        </w:rPr>
        <w:t>https://pubmed.ncbi.nlm.nih.gov/42858342/</w:t>
      </w:r>
    </w:p>
    <w:p>
      <w:pPr>
        <w:pStyle w:val="Heading2"/>
      </w:pPr>
      <w:r>
        <w:t>BCG-Impfung könnte Immunschwäche bei Nierenkranken über trainierte Immunität umkehren</w:t>
      </w:r>
    </w:p>
    <w:p>
      <w:r>
        <w:rPr>
          <w:i/>
          <w:color w:val="666666"/>
          <w:sz w:val="18"/>
        </w:rPr>
        <w:t>Sharma R et al.  ·  Indian J Med Res  ·  Aug. 2026  ·  PMID 42851218</w:t>
      </w:r>
    </w:p>
    <w:p>
      <w:r>
        <w:t>Ein Übersichtsartikel beschreibt, wie BCG-Impfung durch epigenetische Umprograierung der angeborenen Immunität (trainierte Immunität) die Impfantwort und Infektionsabwehr bei Patienten mit chronischer Nierenkrankheit möglicherweise verbessern könnte.</w:t>
      </w:r>
    </w:p>
    <w:p>
      <w:r>
        <w:rPr>
          <w:b/>
        </w:rPr>
        <w:t xml:space="preserve">Ergebnis: </w:t>
      </w:r>
      <w:r>
        <w:t>BCG stimuliert NOD2- und Akt/mTOR-Signalwege, erhöht aktivierende Histonmarken (H3K4me3) bei Zytokingenen und stabilisiert repressive Marken (H3K9me3) in nicht-essentiellen Genomabschnitten. Dies erzeugt transkriptionell permissives Chromatin, das Phagozytose und antimikrobielle Aktivität von Monozyten, Makrophagen und Neutrophilen steigert. Der Mechanismus ist hypothetisch; klinische Evidenz fehlt.</w:t>
      </w:r>
    </w:p>
    <w:p>
      <w:r>
        <w:rPr>
          <w:b/>
          <w:sz w:val="19"/>
        </w:rPr>
        <w:t xml:space="preserve">Übertragbarkeit: </w:t>
      </w:r>
      <w:r>
        <w:rPr>
          <w:sz w:val="19"/>
        </w:rPr>
        <w:t>Theoretische Übersicht ohne empirische Daten, spekulativ für vulnerable Population, keine direkten Versorgungsdaten</w:t>
      </w:r>
    </w:p>
    <w:p>
      <w:r>
        <w:rPr>
          <w:color w:val="5A7D3A"/>
          <w:sz w:val="18"/>
        </w:rPr>
        <w:t>https://pubmed.ncbi.nlm.nih.gov/42851218/</w:t>
      </w:r>
    </w:p>
    <w:p>
      <w:pPr>
        <w:pStyle w:val="Heading2"/>
      </w:pPr>
      <w:r>
        <w:t>COVID-19-Impfstoffe verlangsamen nicht die Nierenkrankheit</w:t>
      </w:r>
    </w:p>
    <w:p>
      <w:r>
        <w:rPr>
          <w:i/>
          <w:color w:val="666666"/>
          <w:sz w:val="18"/>
        </w:rPr>
        <w:t>Emre T et al.  ·  Clin Lab  ·  01.10.2026  ·  PMID 42847950</w:t>
      </w:r>
    </w:p>
    <w:p>
      <w:r>
        <w:t>Retrospektive Kohortenstudie mit 140 Nierenpatienten an einem Krankenhaus in der Türkei, die vor, während und 24 Monate nach Impfung die Nierenfunktion verfolgten.</w:t>
      </w:r>
    </w:p>
    <w:p>
      <w:r>
        <w:rPr>
          <w:b/>
        </w:rPr>
        <w:t xml:space="preserve">Ergebnis: </w:t>
      </w:r>
      <w:r>
        <w:t>Alle drei Impfgruppen (nur BioNTech, nur inaktiviert, gemischt) zeigten signifikante Verschlechterungen der eGFR und Kreatinin-Anstiege über 5 Jahre (p &lt; 0,001), aber keine signifikanten Unterschiede zwischen den Impftypen (p &gt; 0,05). Weder mRNA- noch inaktivierte COVID-19-Impfstoffe beschleunigten die Nierenkrankheit.</w:t>
      </w:r>
    </w:p>
    <w:p>
      <w:r>
        <w:rPr>
          <w:b/>
          <w:sz w:val="19"/>
        </w:rPr>
        <w:t xml:space="preserve">Übertragbarkeit: </w:t>
      </w:r>
      <w:r>
        <w:rPr>
          <w:sz w:val="19"/>
        </w:rPr>
        <w:t>Türkei, retrospektiv, kleiner Kreis, aber Sicherheitssignal adressiert häufige Sorge bei vulnerable Population</w:t>
      </w:r>
    </w:p>
    <w:p>
      <w:r>
        <w:rPr>
          <w:color w:val="5A7D3A"/>
          <w:sz w:val="18"/>
        </w:rPr>
        <w:t>https://pubmed.ncbi.nlm.nih.gov/42847950/</w:t>
      </w:r>
    </w:p>
    <w:p>
      <w:pPr>
        <w:pStyle w:val="Heading2"/>
      </w:pPr>
      <w:r>
        <w:t>Tuberkulose-Patienten zeigen abgeschwächte Immunantwort auf COVID-19-Impfung trotz Antikörper</w:t>
      </w:r>
    </w:p>
    <w:p>
      <w:r>
        <w:rPr>
          <w:i/>
          <w:color w:val="666666"/>
          <w:sz w:val="18"/>
        </w:rPr>
        <w:t>Jiang Z et al.  ·  Front Immunol  ·  18.09.2026  ·  PMID 42827549</w:t>
      </w:r>
    </w:p>
    <w:p>
      <w:r>
        <w:t>Eine Substudie einer RCT verglich 38 TB-Patienten unter Therapie mit 38 Gesunden nach COVID-19-Impfung mittels Proteomik, Transkriptomik und Antikörpertest.</w:t>
      </w:r>
    </w:p>
    <w:p>
      <w:r>
        <w:rPr>
          <w:b/>
        </w:rPr>
        <w:t xml:space="preserve">Ergebnis: </w:t>
      </w:r>
      <w:r>
        <w:t>Trotz vergleichbarer Neutralisierungsantikörper-Titer zeigten TB-Patienten minimale Änderungen der Plasma-Proteome und Transkriptome nach Impfung, während Gesunde breit angelegte Umweltungen aufwiesen. TB-Patienten hatten baseline-Deplation von Proteinen in Vesikel-Transport- und Phagozytose-Wegen und verminderte Immunzell-Infiltration nach Vakzination.</w:t>
      </w:r>
    </w:p>
    <w:p>
      <w:r>
        <w:rPr>
          <w:b/>
          <w:sz w:val="19"/>
        </w:rPr>
        <w:t xml:space="preserve">Übertragbarkeit: </w:t>
      </w:r>
      <w:r>
        <w:rPr>
          <w:sz w:val="19"/>
        </w:rPr>
        <w:t>Vietnam/China (Nanjing) aber RCT-Design mit klaren molekularen Metriken, Übertragbar für Immunschwache</w:t>
      </w:r>
    </w:p>
    <w:p>
      <w:r>
        <w:rPr>
          <w:color w:val="5A7D3A"/>
          <w:sz w:val="18"/>
        </w:rPr>
        <w:t>https://pubmed.ncbi.nlm.nih.gov/42827549/</w:t>
      </w:r>
    </w:p>
    <w:p>
      <w:pPr>
        <w:pStyle w:val="Heading1"/>
      </w:pPr>
      <w:r>
        <w:t>Aufgenommen am 12.10.2026</w:t>
      </w:r>
    </w:p>
    <w:p>
      <w:pPr>
        <w:pStyle w:val="Heading2"/>
      </w:pPr>
      <w:r>
        <w:t>COVID-19-Impfung reduziert Risiko für Post-COVID-Herzerkrankungen</w:t>
      </w:r>
    </w:p>
    <w:p>
      <w:r>
        <w:rPr>
          <w:i/>
          <w:color w:val="666666"/>
          <w:sz w:val="18"/>
        </w:rPr>
        <w:t>Maria LFBS et al.  ·  Rev Med Virol  ·  Nov. 2026  ·  PMID 42858449</w:t>
      </w:r>
    </w:p>
    <w:p>
      <w:r>
        <w:t>Systematische Qualitative Synthese der Evidenz nach Bradford Hill-Kriterien und Sufficient Component Cause-Modell zur Frage, ob Impfung vor Post-COVID-Herz-Kreislauf-Komplikationen schützt.</w:t>
      </w:r>
    </w:p>
    <w:p>
      <w:r>
        <w:rPr>
          <w:b/>
        </w:rPr>
        <w:t xml:space="preserve">Ergebnis: </w:t>
      </w:r>
      <w:r>
        <w:t>COVID-19-Impfung erfüllte vier von neun Bradford-Hill-Kriterien als protektiver Faktor gegen Post-COVID-Kardiovaskulärerkrankungen: Assoziationsstärke, Konsistenz, Temporalität und biologischer Gradient. Drei Kriterien (biolog. Plausibilität, Kohärenz, Analogie) waren teilweise erfüllt. Schlussfolgerung: Impfung erwies sich wirksam über die Akutphase hinaus.</w:t>
      </w:r>
    </w:p>
    <w:p>
      <w:r>
        <w:rPr>
          <w:b/>
          <w:sz w:val="19"/>
        </w:rPr>
        <w:t xml:space="preserve">Übertragbarkeit: </w:t>
      </w:r>
      <w:r>
        <w:rPr>
          <w:sz w:val="19"/>
        </w:rPr>
        <w:t>Brasilien/Lateinamerika; Befund zur kardiovaskulären Langzeit-Schutzwirkung international übertragbar</w:t>
      </w:r>
    </w:p>
    <w:p>
      <w:r>
        <w:rPr>
          <w:color w:val="5A7D3A"/>
          <w:sz w:val="18"/>
        </w:rPr>
        <w:t>https://pubmed.ncbi.nlm.nih.gov/42858449/</w:t>
      </w:r>
    </w:p>
    <w:p>
      <w:pPr>
        <w:pStyle w:val="Heading2"/>
      </w:pPr>
      <w:r>
        <w:t>Impffieber wird durch Darmbakterienzusammensetzung geprägt</w:t>
      </w:r>
    </w:p>
    <w:p>
      <w:r>
        <w:rPr>
          <w:i/>
          <w:color w:val="666666"/>
          <w:sz w:val="18"/>
        </w:rPr>
        <w:t>Huus KE et al.  ·  Science  ·  08.10.2026  ·  PMID 42848888</w:t>
      </w:r>
    </w:p>
    <w:p>
      <w:r>
        <w:t>Longitudinale Profilerstellung der Darmflora bei 171 Erwachsenen nach mRNA-Impfung zeigte, dass Fieber mit niedriger intestinaler Entzündung und gesteigerten flagellierten Lachnospiraceae-Bakterien korreliert.</w:t>
      </w:r>
    </w:p>
    <w:p>
      <w:r>
        <w:rPr>
          <w:b/>
        </w:rPr>
        <w:t xml:space="preserve">Ergebnis: </w:t>
      </w:r>
      <w:r>
        <w:t>Fieberhäufigkeit war mit mikrobiellem Entzündungsstatus und Flagellin-Expressionsprofilen assoziiert. Diät und Mikrobiom-Targeting könnten Impfnebenwirkungen reduzieren, ohne dass damit Impfeffektivität gefährdet wäre – nur lokale Immuntoleranz wird moduliert.</w:t>
      </w:r>
    </w:p>
    <w:p>
      <w:r>
        <w:rPr>
          <w:b/>
          <w:sz w:val="19"/>
        </w:rPr>
        <w:t xml:space="preserve">Übertragbarkeit: </w:t>
      </w:r>
      <w:r>
        <w:rPr>
          <w:sz w:val="19"/>
        </w:rPr>
        <w:t>Deutschland mit vergleichbarer Bevölkerungsstruktur; Befund zu Immunmechanismus ist universell übertragbar</w:t>
      </w:r>
    </w:p>
    <w:p>
      <w:r>
        <w:rPr>
          <w:color w:val="5A7D3A"/>
          <w:sz w:val="18"/>
        </w:rPr>
        <w:t>https://pubmed.ncbi.nlm.nih.gov/42848888/</w:t>
      </w:r>
    </w:p>
    <w:p>
      <w:pPr>
        <w:pStyle w:val="Heading2"/>
      </w:pPr>
      <w:r>
        <w:t>HPV-Impfbereitschaft hängt von Risikobewusstsein, Vertrauen und Informationsquellen ab</w:t>
      </w:r>
    </w:p>
    <w:p>
      <w:r>
        <w:rPr>
          <w:i/>
          <w:color w:val="666666"/>
          <w:sz w:val="18"/>
        </w:rPr>
        <w:t>Thomas Gil M et al.  ·  Hum Vaccin Immunother  ·  08.10.2026  ·  PMID 42847160</w:t>
      </w:r>
    </w:p>
    <w:p>
      <w:r>
        <w:t>Querschnittsumfrage unter indischen Studentinnen integrierte Konstrukte aus Health Belief Model, Protection Motivation Theory und 3Cs-Rahmen, um Determinanten der Impfbereitschaft und des Impfverhaltens zu untersuchen.</w:t>
      </w:r>
    </w:p>
    <w:p>
      <w:r>
        <w:rPr>
          <w:b/>
        </w:rPr>
        <w:t xml:space="preserve">Ergebnis: </w:t>
      </w:r>
      <w:r>
        <w:t>Wahrgenommene Schweregrad und Anfälligkeit sowie Impfvertrauen erhöhten Impfbereitschaft (+), Selbstzufriedenheit senkte sie (−). Impfbereitschaft mediierte signifikant die Effekte auf tatsächliches Impfverhalten. HPV-Impfempfehlungen und Informationsquellen hatten begrenzt verstärkende Moderatoren-Effekte.</w:t>
      </w:r>
    </w:p>
    <w:p>
      <w:r>
        <w:rPr>
          <w:b/>
          <w:sz w:val="19"/>
        </w:rPr>
        <w:t xml:space="preserve">Übertragbarkeit: </w:t>
      </w:r>
      <w:r>
        <w:rPr>
          <w:sz w:val="19"/>
        </w:rPr>
        <w:t>Indien; Einflussfaktoren auf Impfverhalten sind kulturübergreifend relevant, aber Interventionsdesign muss an deutsche Kontexte angepasst werden</w:t>
      </w:r>
    </w:p>
    <w:p>
      <w:r>
        <w:rPr>
          <w:color w:val="5A7D3A"/>
          <w:sz w:val="18"/>
        </w:rPr>
        <w:t>https://pubmed.ncbi.nlm.nih.gov/42847160/</w:t>
      </w:r>
    </w:p>
    <w:p>
      <w:pPr>
        <w:pStyle w:val="Heading2"/>
      </w:pPr>
      <w:r>
        <w:t>Impfung senkt COVID-19-Hospitalisierung bei Rheumapatienten deutlich</w:t>
      </w:r>
    </w:p>
    <w:p>
      <w:r>
        <w:rPr>
          <w:i/>
          <w:color w:val="666666"/>
          <w:sz w:val="18"/>
        </w:rPr>
        <w:t>Ak F et al.  ·  Front Public Health  ·  22.09.2026  ·  PMID 42840118</w:t>
      </w:r>
    </w:p>
    <w:p>
      <w:r>
        <w:t>Retrospektive Kohortenstudie von 1.024 Rheumapatienten (März 2020–Januar 2023): Assoziationen zwischen Krankheitssubtyp, Behandlung, Impfstatus und COVID-19-Infektions- sowie Hospitalisierungsrisiko untersucht.</w:t>
      </w:r>
    </w:p>
    <w:p>
      <w:r>
        <w:rPr>
          <w:b/>
        </w:rPr>
        <w:t xml:space="preserve">Ergebnis: </w:t>
      </w:r>
      <w:r>
        <w:t>Von 1.024 Patienten entwickelten 33,9% COVID-19; 92,3% der Nicht-Infizierten waren geimpft vs. 23,9% der Infizierten (p&lt;0,001). Hospitalisiert wurden 11,5% der COVID-19-Positiven; Prädiktoren: höheres Alter, Lungenbeteiligung, längere Krankheitsdauer. BNT162b2-Impfung war mit niedrigerem Hospitalisierungsrisiko assoziiert.</w:t>
      </w:r>
    </w:p>
    <w:p>
      <w:r>
        <w:rPr>
          <w:b/>
          <w:sz w:val="19"/>
        </w:rPr>
        <w:t xml:space="preserve">Übertragbarkeit: </w:t>
      </w:r>
      <w:r>
        <w:rPr>
          <w:sz w:val="19"/>
        </w:rPr>
        <w:t>Türkei mit westlichem Versicherungssystem; Befund zum Schutzeffekt durch Impfung bei Immunsuppression auf deutsche Rheumatologie direkt übertragbar</w:t>
      </w:r>
    </w:p>
    <w:p>
      <w:r>
        <w:rPr>
          <w:color w:val="5A7D3A"/>
          <w:sz w:val="18"/>
        </w:rPr>
        <w:t>https://pubmed.ncbi.nlm.nih.gov/42840118/</w:t>
      </w:r>
    </w:p>
    <w:p>
      <w:pPr>
        <w:pStyle w:val="Heading2"/>
      </w:pPr>
      <w:r>
        <w:t>Neues CAR-T-Zielprotein MPZL1 könnte Spektrum von Tumorarten erweitern</w:t>
      </w:r>
    </w:p>
    <w:p>
      <w:r>
        <w:rPr>
          <w:i/>
          <w:color w:val="666666"/>
          <w:sz w:val="18"/>
        </w:rPr>
        <w:t>Jiménez-Vázquez S et al.  ·  Nat Commun  ·  10.09.2026  ·  PMID 42722692</w:t>
      </w:r>
    </w:p>
    <w:p>
      <w:r>
        <w:t>Entwicklung und präklinische Testung von CAR-T-Zellen gegen MPZL1, ein Oberflächenprotein, das bei bis zu 75% bestimmter Tumortypen amplifiziert ist und kaum auf Normalgewebe vorkommt.</w:t>
      </w:r>
    </w:p>
    <w:p>
      <w:r>
        <w:rPr>
          <w:b/>
        </w:rPr>
        <w:t xml:space="preserve">Ergebnis: </w:t>
      </w:r>
      <w:r>
        <w:t>CAR-T-Zellen gegen MPZL1 zeigten In-vitro-Eliminationsaktivität und Antitumoraktivität in menschlichen Xenograft-, autochthonen Maus- und patientenabgeleiteten Modellen. Die Arbeiten liefern grundsätzlich einen neuen Zielansatz; klinische Überprüfung steht aus.</w:t>
      </w:r>
    </w:p>
    <w:p>
      <w:r>
        <w:rPr>
          <w:b/>
          <w:sz w:val="19"/>
        </w:rPr>
        <w:t xml:space="preserve">Übertragbarkeit: </w:t>
      </w:r>
      <w:r>
        <w:rPr>
          <w:sz w:val="19"/>
        </w:rPr>
        <w:t>Deutschland mit vergleichbarem Zelltherapie-Standard; Befund zu Targetidentifikation prinzipiell universell</w:t>
      </w:r>
    </w:p>
    <w:p>
      <w:r>
        <w:rPr>
          <w:color w:val="5A7D3A"/>
          <w:sz w:val="18"/>
        </w:rPr>
        <w:t>https://pubmed.ncbi.nlm.nih.gov/42722692/</w:t>
      </w:r>
    </w:p>
    <w:p>
      <w:pPr>
        <w:pStyle w:val="Heading2"/>
      </w:pPr>
      <w:r>
        <w:t>Dezentralisierte CAR-T-Herstellung könnte Zugangshürden in Europa senken</w:t>
      </w:r>
    </w:p>
    <w:p>
      <w:r>
        <w:rPr>
          <w:i/>
          <w:color w:val="666666"/>
          <w:sz w:val="18"/>
        </w:rPr>
        <w:t>Griebling D et al.  ·  Cytotherapy  ·  19.06.2026  ·  PMID 42696794</w:t>
      </w:r>
    </w:p>
    <w:p>
      <w:r>
        <w:t>Review des EASYGEN-Konsortiums zu Engpässen bei CAR-T-Therapie in Europa und Optionen für dezentralisierte Point-of-Care-Fertigung mit nichtviralen Gentransfer-Verfahren an mehreren Zentren.</w:t>
      </w:r>
    </w:p>
    <w:p>
      <w:r>
        <w:rPr>
          <w:b/>
        </w:rPr>
        <w:t xml:space="preserve">Ergebnis: </w:t>
      </w:r>
      <w:r>
        <w:t>Dezentralisierte Produktion und nichtvirale Gentransfer versprechen kürzere Vein-to-Vein-Zeiten, niedrigere Kosten und weniger Patienten-Verschlechterung während der Wartezeit. Konsortium schlägt vor: Standardisierung der Datenintegration und regulatorischer Rahmen für europäische Harmonisierung.</w:t>
      </w:r>
    </w:p>
    <w:p>
      <w:r>
        <w:rPr>
          <w:b/>
          <w:sz w:val="19"/>
        </w:rPr>
        <w:t xml:space="preserve">Übertragbarkeit: </w:t>
      </w:r>
      <w:r>
        <w:rPr>
          <w:sz w:val="19"/>
        </w:rPr>
        <w:t>Europäische Versorgungsarchitektur mit direktem Bezug zu Herstellungshürden in Deutschland und Nachbarländern</w:t>
      </w:r>
    </w:p>
    <w:p>
      <w:r>
        <w:rPr>
          <w:color w:val="5A7D3A"/>
          <w:sz w:val="18"/>
        </w:rPr>
        <w:t>https://pubmed.ncbi.nlm.nih.gov/42696794/</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2026-10-21T06:00:00Z</dcterms:created>
  <dcterms:modified xsi:type="dcterms:W3CDTF">2026-10-21T06:00:00Z</dcterms:modified>
  <cp:category/>
</cp:coreProperties>
</file>