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Impfpraevention</w:t>
      </w:r>
    </w:p>
    <w:p>
      <w:r>
        <w:rPr>
          <w:i/>
          <w:color w:val="666666"/>
          <w:sz w:val="18"/>
        </w:rPr>
        <w:t>Stand: 30.09.2026  |  6 Studien  |  impfen.m-vf.de</w:t>
      </w:r>
    </w:p>
    <w:p>
      <w:pPr>
        <w:pStyle w:val="Heading1"/>
      </w:pPr>
      <w:r>
        <w:t>Aufgenommen am 30.09.2026</w:t>
      </w:r>
    </w:p>
    <w:p>
      <w:pPr>
        <w:pStyle w:val="Heading2"/>
      </w:pPr>
      <w:r>
        <w:t>Psychologische Treiber der Impfskepsis gegen HPV in Polen prägen Kampagnen</w:t>
      </w:r>
    </w:p>
    <w:p>
      <w:r>
        <w:rPr>
          <w:i/>
          <w:color w:val="666666"/>
          <w:sz w:val="18"/>
        </w:rPr>
        <w:t>Siebielec J et al.  ·  Front Public Health  ·  14.09.2026  ·  PMID 42807115</w:t>
      </w:r>
    </w:p>
    <w:p>
      <w:r>
        <w:t>Qualitative Analyse von 4.440 Facebook-Einträgen zum HPV-Impfen zwischen Oktober 2020 und Oktober 2023 unter polnischen Sprechern mit Kodierung nach dem 5C-Modell (Confidence, Complacency, Constraints, Calculation, Collective responsibility).</w:t>
      </w:r>
    </w:p>
    <w:p>
      <w:r>
        <w:rPr>
          <w:b/>
        </w:rPr>
        <w:t xml:space="preserve">Ergebnis: </w:t>
      </w:r>
      <w:r>
        <w:t>51 % aller Einträge erschienen 2023 (Programmstart). 42 % ließen sich Kategorien zuordnen; Calculation (60 %) und Confidence (47 %) am häufigsten, in 13 % beide. Psychologische Faktoren: extensive Informationssuche, Verschwörungstheorie-Anfälligkeit, Vertrauensfragen zu Impfstoff und Behörden. Facebook-Kampagnen sollten diverse psychologische Profile ansprechen und zuverlässige Information verständlich darstellen.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Qualitative Erkenntnis aus Europa (Polen), übertragbar für deutschsprachige Impf­kommunikation.</w:t>
      </w:r>
    </w:p>
    <w:p>
      <w:r>
        <w:rPr>
          <w:color w:val="5A7D3A"/>
          <w:sz w:val="18"/>
        </w:rPr>
        <w:t>https://pubmed.ncbi.nlm.nih.gov/42807115/</w:t>
      </w:r>
    </w:p>
    <w:p>
      <w:pPr>
        <w:pStyle w:val="Heading2"/>
      </w:pPr>
      <w:r>
        <w:t>BCG-Impfung senkt Tuberkulose-Risiko bei bangladeschischen Kindern um 57 %</w:t>
      </w:r>
    </w:p>
    <w:p>
      <w:r>
        <w:rPr>
          <w:i/>
          <w:color w:val="666666"/>
          <w:sz w:val="18"/>
        </w:rPr>
        <w:t>Rahman T et al.  ·  BMC Infect Dis  ·  27.07.2026  ·  PMID 42806320</w:t>
      </w:r>
    </w:p>
    <w:p>
      <w:r>
        <w:t>Gemeindebasierte Fall-Kontroll-Studie bei 207 TB-Fällen und 207 Kontrollen (2–14 Jahre) in Moulavibazar, Bangladesch, Januar–April 2023 mit multivariater logistischer Regression.</w:t>
      </w:r>
    </w:p>
    <w:p>
      <w:r>
        <w:rPr>
          <w:b/>
        </w:rPr>
        <w:t xml:space="preserve">Ergebnis: </w:t>
      </w:r>
      <w:r>
        <w:t>BCG-Impfung: aOR 0,43 (95%-KI 0,20–0,93), Schutz 57 %. Zusätzliche Risikofaktoren: Adoleszenz (11–14 vs. 2–5 Jahre: aOR 2,53), männliches Geschlecht (aOR 1,79), TB in Familie &lt;6 Monate (aOR 1,92). Random-Forest-Modell: Accuracy 71,6 %, AUC 0,74. Impfung bleibt zentral für Kindertuberkulose-Kontrolle.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Südasien mit epidemiologischen Daten, aber hohe Transmissionslage dort anders als Deutschland.</w:t>
      </w:r>
    </w:p>
    <w:p>
      <w:r>
        <w:rPr>
          <w:color w:val="5A7D3A"/>
          <w:sz w:val="18"/>
        </w:rPr>
        <w:t>https://pubmed.ncbi.nlm.nih.gov/42806320/</w:t>
      </w:r>
    </w:p>
    <w:p>
      <w:pPr>
        <w:pStyle w:val="Heading2"/>
      </w:pPr>
      <w:r>
        <w:t>Masernherd-Schwelle in Florida durch Impfquoten unterschritten – Risiko rapider Ausbrüche</w:t>
      </w:r>
    </w:p>
    <w:p>
      <w:r>
        <w:rPr>
          <w:i/>
          <w:color w:val="666666"/>
          <w:sz w:val="18"/>
        </w:rPr>
        <w:t>Oveson A et al.  ·  Proc Natl Acad Sci U S A  ·  06.10.2026  ·  PMID 42804627</w:t>
      </w:r>
    </w:p>
    <w:p>
      <w:r>
        <w:t>Altersstrukturiertes Masern-Transmissionsmodell für Florida kalibriert mit Daten des Gaines-County-Ausbruchs 2025, untersucht Effekt von Aufhebung schulischer Impfpflicht.</w:t>
      </w:r>
    </w:p>
    <w:p>
      <w:r>
        <w:rPr>
          <w:b/>
        </w:rPr>
        <w:t xml:space="preserve">Ergebnis: </w:t>
      </w:r>
      <w:r>
        <w:t>Aktuelle Masern-Mumps-Röteln-Quote in Florida unterschreitet bereits die Herdenimmunitätsschwelle. Modellierte Quoten­rückgänge nach Aufhebung der Schulanforderung projizieren Ausbruchsgrößen wie vor Impfära, mit signifikanter Kindersterblichkeit in fünf Jahren. Sensitivitätsanalyse: kleine Quoten­rückgänge führen zu disproportional großen Ausbruchszunahmen, besonders bei starker Mischung unter Kindern.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epidemiologisches Modell – Mechanismus übertragbar auf deutsche Risiko­szenarios.</w:t>
      </w:r>
    </w:p>
    <w:p>
      <w:r>
        <w:rPr>
          <w:color w:val="5A7D3A"/>
          <w:sz w:val="18"/>
        </w:rPr>
        <w:t>https://pubmed.ncbi.nlm.nih.gov/42804627/</w:t>
      </w:r>
    </w:p>
    <w:p>
      <w:pPr>
        <w:pStyle w:val="Heading2"/>
      </w:pPr>
      <w:r>
        <w:t>RSV-Hospitalisierungen bei Kindern sinken nach gezieltem Nirsevimab-Einsatz</w:t>
      </w:r>
    </w:p>
    <w:p>
      <w:r>
        <w:rPr>
          <w:i/>
          <w:color w:val="666666"/>
          <w:sz w:val="18"/>
        </w:rPr>
        <w:t>Attaianese F et al.  ·  Int J Infect Dis  ·  27.08.2026  ·  PMID 42660409</w:t>
      </w:r>
    </w:p>
    <w:p>
      <w:r>
        <w:t>Italienische Studie zu RSV-Infektionen bei Kindern &lt;18 Jahren über sechs Saisons mit Analyse der Auswirkung regionaler Nirsevimab-Impfstrategien zwischen Januar 2019 und März 2025.</w:t>
      </w:r>
    </w:p>
    <w:p>
      <w:r>
        <w:rPr>
          <w:b/>
        </w:rPr>
        <w:t xml:space="preserve">Ergebnis: </w:t>
      </w:r>
      <w:r>
        <w:t>In der Saison 2024–2025 sanken RSV-Hospitalisierungen um insgesamt 43,6 %. Mit breiten Zugangs­kriterien und frühem Einsatz (Gruppe B) betrug das Reduktionsverhältnis 0,28 (95%-KI 0,22–0,36), mit einzelnem Zentrum (Gruppe F) 0,24. Beschränktere Strategien (Gruppen C–E) zeigten moderatere Rückgänge (Quoten 0,58–0,70). Die Studie bestätigt zeitliche Assoziation zwischen Rollout und verringerter Hospitalisierung.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mit vergleichbaren Krankenhausdaten und Meldesystemen.</w:t>
      </w:r>
    </w:p>
    <w:p>
      <w:r>
        <w:rPr>
          <w:color w:val="5A7D3A"/>
          <w:sz w:val="18"/>
        </w:rPr>
        <w:t>https://pubmed.ncbi.nlm.nih.gov/42660409/</w:t>
      </w:r>
    </w:p>
    <w:p>
      <w:pPr>
        <w:pStyle w:val="Heading2"/>
      </w:pPr>
      <w:r>
        <w:t>Nirsevimab und RSV-Mutterimpfung schützen Säuglinge hocheffektiv</w:t>
      </w:r>
    </w:p>
    <w:p>
      <w:r>
        <w:rPr>
          <w:i/>
          <w:color w:val="666666"/>
          <w:sz w:val="18"/>
        </w:rPr>
        <w:t>Treston B et al.  ·  Int J Infect Dis  ·  06.08.2026  ·  PMID 42562126</w:t>
      </w:r>
    </w:p>
    <w:p>
      <w:r>
        <w:t>Test-negativ Fall-Kontroll-Studie über zwei RSV-Schutzstrategien auf der irischen Insel in der Saison 2024/25 bei Säuglingen &lt;6 Monaten mit akuter Atemwegserkrankung.</w:t>
      </w:r>
    </w:p>
    <w:p>
      <w:r>
        <w:rPr>
          <w:b/>
        </w:rPr>
        <w:t xml:space="preserve">Ergebnis: </w:t>
      </w:r>
      <w:r>
        <w:t>Nirsevimab-Effektivität gegen Hospitalisierung 90,7 % (95%-KI 80,7–95,8) in der Republik Irland bei 83 % Abdeckung; RSVpreF-Effektivität 83,9 % (95%-KI 41,5–96,6) in Nordirland bei 30 % Abdeckung. Notfall­ambulanz-Bronchiolitis-Besuche sanken um 52 % (ROI) und 37 % (NI). Unterschiedliche Abdeckung führte zu unterschiedlichem Bevölkerungseffekt.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 mit Notfalldaten, aber Strategie-Unterschiede zeigen Implementierungs­priorität.</w:t>
      </w:r>
    </w:p>
    <w:p>
      <w:r>
        <w:rPr>
          <w:color w:val="5A7D3A"/>
          <w:sz w:val="18"/>
        </w:rPr>
        <w:t>https://pubmed.ncbi.nlm.nih.gov/42562126/</w:t>
      </w:r>
    </w:p>
    <w:p>
      <w:pPr>
        <w:pStyle w:val="Heading2"/>
      </w:pPr>
      <w:r>
        <w:t>Keine erhöhte Notfall-Hospitalisierungsrate durch Impfung bei immunologischen Erkrankungen</w:t>
      </w:r>
    </w:p>
    <w:p>
      <w:r>
        <w:rPr>
          <w:i/>
          <w:color w:val="666666"/>
          <w:sz w:val="18"/>
        </w:rPr>
        <w:t>Meiszl K et al.  ·  Int J Infect Dis  ·  25.07.2026  ·  PMID 42501818</w:t>
      </w:r>
    </w:p>
    <w:p>
      <w:r>
        <w:t>Deutsche Register-Kohortenstudie mit sechs Kausalziel-Emulatoren zu Pneumokokken- und Influenza-Impfung bei 432.768 Patienten mit Multipler Sklerose, entzündlich-rheumatischen oder Darmerkrankungen zwischen 2013 und 2019.</w:t>
      </w:r>
    </w:p>
    <w:p>
      <w:r>
        <w:rPr>
          <w:b/>
        </w:rPr>
        <w:t xml:space="preserve">Ergebnis: </w:t>
      </w:r>
      <w:r>
        <w:t>Pneumokokken: HR 0,91 (MS), 0,60 (rheumatisch), 0,89 (IBD). Influenza: HR 0,94 (MS), 0,79 (rheumatisch), 0,83 (IBD) – keine erhöhte Verschlechterung, teilweise Risikoreduktion. Modell-Kalibrierung adequate (Hosmer-Lemeshow-Test). Befund stützt Sicherheit der Immunisierung in diesen Populationen.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Kassenabrechnung (BARMER), direkter Bevölkerungsbezug.</w:t>
      </w:r>
    </w:p>
    <w:p>
      <w:r>
        <w:rPr>
          <w:color w:val="5A7D3A"/>
          <w:sz w:val="18"/>
        </w:rPr>
        <w:t>https://pubmed.ncbi.nlm.nih.gov/42501818/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Impfpraevention</dc:title>
  <dc:subject/>
  <dc:creator>Monitor Versorgungsforschung</dc:creator>
  <cp:keywords/>
  <dc:description>generated by python-docx</dc:description>
  <cp:lastModifiedBy/>
  <cp:revision>1</cp:revision>
  <dcterms:created xsi:type="dcterms:W3CDTF">2026-09-30T06:00:00Z</dcterms:created>
  <dcterms:modified xsi:type="dcterms:W3CDTF">2026-09-30T06:00:00Z</dcterms:modified>
  <cp:category/>
</cp:coreProperties>
</file>