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24.09.2026  |  6 Studien  |  impfen.m-vf.de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COVID-19-Impfung: Alter und Bildung bestimmen Annahme in Ostpolen stärker als Lebensstil</w:t>
      </w:r>
    </w:p>
    <w:p>
      <w:r>
        <w:rPr>
          <w:i/>
          <w:color w:val="666666"/>
          <w:sz w:val="18"/>
        </w:rPr>
        <w:t>Karczmarz S et al.  ·  Med Sci Monit  ·  23.09.2026  ·  PMID 42776929</w:t>
      </w:r>
    </w:p>
    <w:p>
      <w:r>
        <w:t>Querschnittsstudie an 458 Primärversorgungspatienten in Polen untersuchte, welche Faktoren mit vollständiger COVID-19-Impfung assoziiert sind.</w:t>
      </w:r>
    </w:p>
    <w:p>
      <w:r>
        <w:rPr>
          <w:b/>
        </w:rPr>
        <w:t xml:space="preserve">Ergebnis: </w:t>
      </w:r>
      <w:r>
        <w:t>Vollständige Impfung war assoziiert mit höherem Alter, höherer Bildung und Rentnerstatus; ländlicher Wohnort zeigte unerwartet höhere Impfquote als urban; Lifestyle-Profile zeigten keine konsistente unabhängige Assoziation mit Impfstatus.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vergleichbares Versicherungssystem, dokumentiert Rollen von Zugang und Vertrauen</w:t>
      </w:r>
    </w:p>
    <w:p>
      <w:r>
        <w:rPr>
          <w:color w:val="5A7D3A"/>
          <w:sz w:val="18"/>
        </w:rPr>
        <w:t>https://pubmed.ncbi.nlm.nih.gov/42776929/</w:t>
      </w:r>
    </w:p>
    <w:p>
      <w:pPr>
        <w:pStyle w:val="Heading2"/>
      </w:pPr>
      <w:r>
        <w:t>Moderate bis hohe körperliche Aktivität verstärkt COVID-19-Antikörperreaktion unmittelbar nach Impfung</w:t>
      </w:r>
    </w:p>
    <w:p>
      <w:r>
        <w:rPr>
          <w:i/>
          <w:color w:val="666666"/>
          <w:sz w:val="18"/>
        </w:rPr>
        <w:t>Voulgaridi I et al.  ·  Front Public Health  ·  08.09.2026  ·  PMID 42774463</w:t>
      </w:r>
    </w:p>
    <w:p>
      <w:r>
        <w:t>Längsschnitt-Kohortenstudie mit 641 Erwachsenen untersuchte Assoziation zwischen Bewegungsaktivität und Anti-SARS-CoV-2-IgG/IgA-Antikörpern an den Tagen 21, 42, 90 und 180 nach COVID-19-Impfung.</w:t>
      </w:r>
    </w:p>
    <w:p>
      <w:r>
        <w:rPr>
          <w:b/>
        </w:rPr>
        <w:t xml:space="preserve">Ergebnis: </w:t>
      </w:r>
      <w:r>
        <w:t>IgG-Seropositividät an Tag 21 war höher bei moderater (92,6%) oder hoher (97,0%) Aktivität als bei niedriger (70,4%, p&lt;0,001); älteres Alter mit reduzierten IgG-Titern assoziiert (alle Zeitpunkte p&lt;0,001); Komorbidität mit niedrigeren Titern verknüpft.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europäisches Gesundheitssystem, vergleichbare Impfprogramme</w:t>
      </w:r>
    </w:p>
    <w:p>
      <w:r>
        <w:rPr>
          <w:color w:val="5A7D3A"/>
          <w:sz w:val="18"/>
        </w:rPr>
        <w:t>https://pubmed.ncbi.nlm.nih.gov/42774463/</w:t>
      </w:r>
    </w:p>
    <w:p>
      <w:pPr>
        <w:pStyle w:val="Heading2"/>
      </w:pPr>
      <w:r>
        <w:t>Tdap-Sicherheit im VAERS-Register: Radiculitis bei Frauen erhöht, aber Schwangerschaft und Alter unbedenklich</w:t>
      </w:r>
    </w:p>
    <w:p>
      <w:r>
        <w:rPr>
          <w:i/>
          <w:color w:val="666666"/>
          <w:sz w:val="18"/>
        </w:rPr>
        <w:t>Song W et al.  ·  Front Cell Infect Microbiol  ·  08.09.2026  ·  PMID 42774241</w:t>
      </w:r>
    </w:p>
    <w:p>
      <w:r>
        <w:t>Post-Marketing-Surveillance von 20.128 VAERS-Meldungen zu Tdap (2015–2025) mit Disproportionalitätsanalyse nach Alter, Geschlecht und Schwangerschaftsstatus.</w:t>
      </w:r>
    </w:p>
    <w:p>
      <w:r>
        <w:rPr>
          <w:b/>
        </w:rPr>
        <w:t xml:space="preserve">Ergebnis: </w:t>
      </w:r>
      <w:r>
        <w:t>95,8% nicht-schwerwiegende Fälle; häufigste Signale: Injektionsstelle Erythem und Ödem; 70,3% Ereignisse innerhalb 1 Tag; bei Schwangeren (n=744): keine unerwarteten Sicherheitssignale; Adoleszenten: Opisthotonus erhöht (ROR=8,55); nicht-schwangere Frauen: Brachialradiculitis (ROR=14,42) und Bursa-Flüssigkeitsansammlung (ROR=21,22)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USA-VAERS-Daten, aber Pharmakovigilanz-Methode international verwendbar</w:t>
      </w:r>
    </w:p>
    <w:p>
      <w:r>
        <w:rPr>
          <w:color w:val="5A7D3A"/>
          <w:sz w:val="18"/>
        </w:rPr>
        <w:t>https://pubmed.ncbi.nlm.nih.gov/42774241/</w:t>
      </w:r>
    </w:p>
    <w:p>
      <w:pPr>
        <w:pStyle w:val="Heading2"/>
      </w:pPr>
      <w:r>
        <w:t>HPV16/18-Antikörper-Überwachung: Neutralisierungstest, cCLIA und IgG im Vergleich für Impfquoten-Monitoring</w:t>
      </w:r>
    </w:p>
    <w:p>
      <w:r>
        <w:rPr>
          <w:i/>
          <w:color w:val="666666"/>
          <w:sz w:val="18"/>
        </w:rPr>
        <w:t>Mao W et al.  ·  Front Immunol  ·  08.09.2026  ·  PMID 42774225</w:t>
      </w:r>
    </w:p>
    <w:p>
      <w:r>
        <w:t>Querschnitt- und Längsschnittstudie mit vollständig Geimpften und Ungeimpften verglich drei serologische Assays (Pseudovirionen-Neutralisierung, kompetitiver Chemilumineszenz-Immunoassay, indirekte IgG) für HPV16/18-Antikörper-Nachweis nach Vakzination.</w:t>
      </w:r>
    </w:p>
    <w:p>
      <w:r>
        <w:rPr>
          <w:b/>
        </w:rPr>
        <w:t xml:space="preserve">Ergebnis: </w:t>
      </w:r>
      <w:r>
        <w:t>Alle drei Assays reflektierten Impfantwort-Trends; cCLIA stabiler gegenüber Neutralisierungstest als IgG-Assay, besonders longitudinal und nach 2. Dosis; IgG zeigte niedrigere Stabilität für funktionale Klassifikation, aber konsistente Erfassung von Bevölkerungs-Reaktionen; persistente numerische Unterschiede bedeuten Assays nicht direkt austauschbar.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Assay-Vergleich für HPV-Monitoring-Strategien europaweit relevant</w:t>
      </w:r>
    </w:p>
    <w:p>
      <w:r>
        <w:rPr>
          <w:color w:val="5A7D3A"/>
          <w:sz w:val="18"/>
        </w:rPr>
        <w:t>https://pubmed.ncbi.nlm.nih.gov/42774225/</w:t>
      </w:r>
    </w:p>
    <w:p>
      <w:pPr>
        <w:pStyle w:val="Heading2"/>
      </w:pPr>
      <w:r>
        <w:t>Hochdosis-Grippeimpfstoff für gebrechliche Ältere – Effektivität variiert nach Frailty-Risiko</w:t>
      </w:r>
    </w:p>
    <w:p>
      <w:r>
        <w:rPr>
          <w:i/>
          <w:color w:val="666666"/>
          <w:sz w:val="18"/>
        </w:rPr>
        <w:t>Espersen C et al.  ·  Lancet Healthy Longev  ·  17.09.2026  ·  PMID 42753782</w:t>
      </w:r>
    </w:p>
    <w:p>
      <w:r>
        <w:t>Prespecified Analyse der DANFLU-2-Studie mit 332.438 Personen ≥65 Jahren aus Dänemark verglich Hochdosis- vs. Standarddosis-Influenzavakzin nach Gebrechlichkeitsrisiko bezüglich Hospitalisierungen.</w:t>
      </w:r>
    </w:p>
    <w:p>
      <w:r>
        <w:rPr>
          <w:b/>
        </w:rPr>
        <w:t xml:space="preserve">Ergebnis: </w:t>
      </w:r>
      <w:r>
        <w:t>Bei niedriger Gebrechlichkeit: relative Vakzin-Effektivität (HD vs. SD) 0,2% (95% KI −10,8–10,2); bei mittlerer: 13,1% (−0,4–24,8); bei hoher: 19,9% (−10,3–42,1). Höhere Effektivitätsgewinne mit steigendem Gebrechlichkeitsrisiko, aber 95%-KIs überschreiten Null; Effekt-Modifikation nicht signifikant in vorgegebenen Kategorien.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skandinavisches System mit Register und Krankenhausdaten</w:t>
      </w:r>
    </w:p>
    <w:p>
      <w:r>
        <w:rPr>
          <w:color w:val="5A7D3A"/>
          <w:sz w:val="18"/>
        </w:rPr>
        <w:t>https://pubmed.ncbi.nlm.nih.gov/42753782/</w:t>
      </w:r>
    </w:p>
    <w:p>
      <w:pPr>
        <w:pStyle w:val="Heading2"/>
      </w:pPr>
      <w:r>
        <w:t>Langzeitkomplikationen nach CAR-T-Zelltherapie: Infektionen und Sekundärmalignome überwiegen</w:t>
      </w:r>
    </w:p>
    <w:p>
      <w:r>
        <w:rPr>
          <w:i/>
          <w:color w:val="666666"/>
          <w:sz w:val="18"/>
        </w:rPr>
        <w:t>Eisenmann M et al.  ·  Curr Oncol  ·  01.08.2026  ·  PMID 42645366</w:t>
      </w:r>
    </w:p>
    <w:p>
      <w:r>
        <w:t>Scoping Review von 18 Primärstudien (2018 an) zu späten Nebenwirkungen (≥12 Monate nach Infusion) bei Patienten mit EMA-zugelassenen CAR-T-Produkten.</w:t>
      </w:r>
    </w:p>
    <w:p>
      <w:r>
        <w:rPr>
          <w:b/>
        </w:rPr>
        <w:t xml:space="preserve">Ergebnis: </w:t>
      </w:r>
      <w:r>
        <w:t>Spätkomplikationen konzentrierten sich auf Infektionen und Sekundärmalignome; Nicht-Rückfall-Mortalität in 7 Studien berichtet, Infektionen und Sekundärmalignome häufig als Todesursachen genannt; systematische Übersichtsarbeit ohne neue Ziffern, aber klare Kategorisierung der Evidenz.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EMA-Daten, aber Übersicht ohne neue empirische Effekte – nur für Systemwissen</w:t>
      </w:r>
    </w:p>
    <w:p>
      <w:r>
        <w:rPr>
          <w:color w:val="5A7D3A"/>
          <w:sz w:val="18"/>
        </w:rPr>
        <w:t>https://pubmed.ncbi.nlm.nih.gov/42645366/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