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30.08.2026  |  7 Studien  |  impfen.m-vf.de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Rapid strain-matched Influenza-Impfung hätte 28.000 Todesfälle in UK-ähnlicher Pandemie verhindert</w:t>
      </w:r>
    </w:p>
    <w:p>
      <w:r>
        <w:rPr>
          <w:i/>
          <w:color w:val="666666"/>
          <w:sz w:val="18"/>
        </w:rPr>
        <w:t>Lovick S et al.  ·  Hum Vaccin Immunother  ·  28.08.2026  ·  PMID 42663142</w:t>
      </w:r>
    </w:p>
    <w:p>
      <w:r>
        <w:t>Dynamisches SEIR-Transmissionsmodell für UK-ähnliche Bevölkerung zur Bewertung Morbidität, Mortalität und Kosten einer frühen zellbasierten vs. eibasierten Pandemie-Impfstoff-Kampagne mit/ohne Maßnahmen.</w:t>
      </w:r>
    </w:p>
    <w:p>
      <w:r>
        <w:rPr>
          <w:b/>
        </w:rPr>
        <w:t xml:space="preserve">Ergebnis: </w:t>
      </w:r>
      <w:r>
        <w:t>16-wöchige Impfkampagne ab 16 Wochen nach Pandemie-Erklärung (ohne Maßnahmen) reduzierte Infektionen um 3,0 Millionen und Todesfälle um 28.000, mit größerem Nutzen in Low-Transmissibility-Szenarien. Zellbasierter Impfstoff reduzierte Todesfälle zusätzlich um 5,0%. Maßnahmen (Durchschnittskosten £208 Mrd.) verbesserten Impfeffektivität, zellbasierter Impfstoff zusätzlich um 0,9%. Verzögerungen erhöhten Mortalität und wirtschaftliche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UK-ähnliche Gesundheitssysteme, Modellierung ohne spezifische nationale Daten.</w:t>
      </w:r>
    </w:p>
    <w:p>
      <w:r>
        <w:rPr>
          <w:color w:val="5A7D3A"/>
          <w:sz w:val="18"/>
        </w:rPr>
        <w:t>https://pubmed.ncbi.nlm.nih.gov/42663142/</w:t>
      </w:r>
    </w:p>
    <w:p>
      <w:pPr>
        <w:pStyle w:val="Heading2"/>
      </w:pPr>
      <w:r>
        <w:t>Vertraute Quellen statt digitale Botschaften: Was COVID-19-Skepsis bei Schwarzen schwangeren Frauen senkt</w:t>
      </w:r>
    </w:p>
    <w:p>
      <w:r>
        <w:rPr>
          <w:i/>
          <w:color w:val="666666"/>
          <w:sz w:val="18"/>
        </w:rPr>
        <w:t>Cox E et al.  ·  Front Public Health  ·  12.08.2026  ·  PMID 42656594</w:t>
      </w:r>
    </w:p>
    <w:p>
      <w:r>
        <w:t>Qualitative Studie mit Interviews und Fokusgruppen bei 30 Schwarzen schwangeren und postpartalen Frauen in den USA zum Einfluss von sozialen Medien-Anzeigen auf Impfbereitschaft.</w:t>
      </w:r>
    </w:p>
    <w:p>
      <w:r>
        <w:rPr>
          <w:b/>
        </w:rPr>
        <w:t xml:space="preserve">Ergebnis: </w:t>
      </w:r>
      <w:r>
        <w:t>Geimpfte, religiöse, politisch konservative und verheiratete Frauen zeigten höhere Bereitschaft nach den Anzeigen. Kein einzelnes Messenger-Format oder Inhaltstyp war überlegen. Qualitativ zentral: Vertrauen in sich selbst, Familie, Doulas und Glaubensführer; Misstrauen gegen Staat und Gesundheitssystem sowie medizinischen Rassismus. Persönliches Zeugnis von vertrauten Quellen könnte Akzeptanz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spezifische Herausforderung für Minderheiten-Vertrauen in Gesundheitssystem.</w:t>
      </w:r>
    </w:p>
    <w:p>
      <w:r>
        <w:rPr>
          <w:color w:val="5A7D3A"/>
          <w:sz w:val="18"/>
        </w:rPr>
        <w:t>https://pubmed.ncbi.nlm.nih.gov/42656594/</w:t>
      </w:r>
    </w:p>
    <w:p>
      <w:pPr>
        <w:pStyle w:val="Heading2"/>
      </w:pPr>
      <w:r>
        <w:t>HPV-geimpfte Jugendliche nutzen Kondome häufiger und kennen mehr über Geschlechtskrankheiten</w:t>
      </w:r>
    </w:p>
    <w:p>
      <w:r>
        <w:rPr>
          <w:i/>
          <w:color w:val="666666"/>
          <w:sz w:val="18"/>
        </w:rPr>
        <w:t>Christensen LD et al.  ·  Dan Med J  ·  09.06.2026  ·  PMID 42592763</w:t>
      </w:r>
    </w:p>
    <w:p>
      <w:r>
        <w:t>Querschnittstudie bei 866 von 1.254 neunten Schulklassen-Schülern (69%) in Dänemark 2020–2024 zu HPV-Impfstatus und Wissen über sexuell übertragbare Infektionen.</w:t>
      </w:r>
    </w:p>
    <w:p>
      <w:r>
        <w:rPr>
          <w:b/>
        </w:rPr>
        <w:t xml:space="preserve">Ergebnis: </w:t>
      </w:r>
      <w:r>
        <w:t>20% der Jugendlichen hatten sexuelle Erfahrung mit Medianalter 14 Jahren. Wissen über drei oder mehr STIs war mit HPV-Impfung assoziiert (p=0,001). 62% nutzten bei letztem Sexualkontakt Kondome und/oder orale Kontrazeptiva; Mädchen 70–80%, Jungen 50–55%. HPV-Geimpfte nutzten Kondome signifikant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Impfprogramm und Bevölkerungsaufbau.</w:t>
      </w:r>
    </w:p>
    <w:p>
      <w:r>
        <w:rPr>
          <w:color w:val="5A7D3A"/>
          <w:sz w:val="18"/>
        </w:rPr>
        <w:t>https://pubmed.ncbi.nlm.nih.gov/42592763/</w:t>
      </w:r>
    </w:p>
    <w:p>
      <w:pPr>
        <w:pStyle w:val="Heading2"/>
      </w:pPr>
      <w:r>
        <w:t>RSV-Impfung bei immungeschwächten Erwachsenen würde Krankheitslast und Kosten in Deutschland senken</w:t>
      </w:r>
    </w:p>
    <w:p>
      <w:r>
        <w:rPr>
          <w:i/>
          <w:color w:val="666666"/>
          <w:sz w:val="18"/>
        </w:rPr>
        <w:t>Quinn E et al.  ·  Expert Rev Vaccines  ·  31.07.2026  ·  PMID 42535735</w:t>
      </w:r>
    </w:p>
    <w:p>
      <w:r>
        <w:t>Kosten-Effektivitätsmodell für RSV-Impfung (RSVpreF) in Deutschland, mit Szenarien für die Erweiterung der STIKO-Empfehlung auf Personen &lt;60 Jahren.</w:t>
      </w:r>
    </w:p>
    <w:p>
      <w:r>
        <w:rPr>
          <w:b/>
        </w:rPr>
        <w:t xml:space="preserve">Ergebnis: </w:t>
      </w:r>
      <w:r>
        <w:t>Gegenwärtig: Empfehlung für 60–74 Jahre und ≥75 Jahre. Erweiterung auf immungeschwächte (IC) Erwachsene 18–59 Jahre würde 6.490 Fälle verhindern, 199 Todesfälle abwenden und 21 Mio. € einsparen. Erweiterung auf IC/chronisch kranke Personen 18–59 Jahre würde 24.545 Fälle und 388 Todesfälle verhindern bei Mehrkosten von 238 Mio.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Versicherungslogik und STIKO-Struktur.</w:t>
      </w:r>
    </w:p>
    <w:p>
      <w:r>
        <w:rPr>
          <w:color w:val="5A7D3A"/>
          <w:sz w:val="18"/>
        </w:rPr>
        <w:t>https://pubmed.ncbi.nlm.nih.gov/42535735/</w:t>
      </w:r>
    </w:p>
    <w:p>
      <w:pPr>
        <w:pStyle w:val="Heading2"/>
      </w:pPr>
      <w:r>
        <w:t>Schützende Antikörper gegen Röteln bei Katalanischen Medizinstudierenden trotz hoher Impfquoten</w:t>
      </w:r>
    </w:p>
    <w:p>
      <w:r>
        <w:rPr>
          <w:i/>
          <w:color w:val="666666"/>
          <w:sz w:val="18"/>
        </w:rPr>
        <w:t>Benito P et al.  ·  Vaccine  ·  13.08.2026  ·  PMID 42501718</w:t>
      </w:r>
    </w:p>
    <w:p>
      <w:r>
        <w:t>Querschnittsstudie an 235 Medizinstudierenden in vier katalanischen Universitäten zur Röteln-Impfquote und Seroprävalenz von Schutzantikörpern.</w:t>
      </w:r>
    </w:p>
    <w:p>
      <w:r>
        <w:rPr>
          <w:b/>
        </w:rPr>
        <w:t xml:space="preserve">Ergebnis: </w:t>
      </w:r>
      <w:r>
        <w:t>94,5% berichteten vollständige Röteln-Impfung; 84,7% hatten schützende Anti-Röteln-IgG-Antikörper, 6,0% grenzwertig und 9,4% negativ. Vollständig Geimpfte waren signifikant häufiger seropositiv (aOR 4,02; 95% CI 1,14–13,11). Nahezu alle Teilnehmenden bewerteten die MMR-Impfung als sicher und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Hochschulsystem und Impfkalender.</w:t>
      </w:r>
    </w:p>
    <w:p>
      <w:r>
        <w:rPr>
          <w:color w:val="5A7D3A"/>
          <w:sz w:val="18"/>
        </w:rPr>
        <w:t>https://pubmed.ncbi.nlm.nih.gov/42501718/</w:t>
      </w:r>
    </w:p>
    <w:p>
      <w:pPr>
        <w:pStyle w:val="Heading2"/>
      </w:pPr>
      <w:r>
        <w:t>Catch-up-Impfquoten nach Beratung bei ukrainischen Kinderflüchtlingen in der Schweiz deutlich verbessert</w:t>
      </w:r>
    </w:p>
    <w:p>
      <w:r>
        <w:rPr>
          <w:i/>
          <w:color w:val="666666"/>
          <w:sz w:val="18"/>
        </w:rPr>
        <w:t>Vaezipour N et al.  ·  Eur J Pediatr  ·  23.07.2026  ·  PMID 42489737</w:t>
      </w:r>
    </w:p>
    <w:p>
      <w:r>
        <w:t>Retrospektive Kohortenstudie bei 517 ukrainischen Kinderflüchtlingen in fünf Schweizer Zentren zur Durchimpfung und Infektionsscreening.</w:t>
      </w:r>
    </w:p>
    <w:p>
      <w:r>
        <w:rPr>
          <w:b/>
        </w:rPr>
        <w:t xml:space="preserve">Ergebnis: </w:t>
      </w:r>
      <w:r>
        <w:t>Bei Ankunft 71–82% altersentsprechend geimpft gegen Masern, Diphtherie-Tetanus-Pertussis, Poliomyelitis und Haemophilus influenzae b; Hauptgrund für Lücken war Impfskepsis. Nach Impfberatung/Catch-up-Programme: 98% (509/517) vollständig geimpft. Infektionsscreening-Positivraten niedrig: HIV 2,7%, Hepatitis B 1,6%, Tuberkulose 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 und Versorgungsauftrag.</w:t>
      </w:r>
    </w:p>
    <w:p>
      <w:r>
        <w:rPr>
          <w:color w:val="5A7D3A"/>
          <w:sz w:val="18"/>
        </w:rPr>
        <w:t>https://pubmed.ncbi.nlm.nih.gov/42489737/</w:t>
      </w:r>
    </w:p>
    <w:p>
      <w:pPr>
        <w:pStyle w:val="Heading2"/>
      </w:pPr>
      <w:r>
        <w:t>Impfdurchbrüche mit Pneumokokken-Serotyp 3 trotz hoher PCV13-Abdeckung bei Kindern</w:t>
      </w:r>
    </w:p>
    <w:p>
      <w:r>
        <w:rPr>
          <w:i/>
          <w:color w:val="666666"/>
          <w:sz w:val="18"/>
        </w:rPr>
        <w:t>Ciruela P et al.  ·  Vaccine  ·  13.08.2026  ·  PMID 42486053</w:t>
      </w:r>
    </w:p>
    <w:p>
      <w:r>
        <w:t>Retrospektive Beobachtungsstudie zu invasiven Pneumokokken-Erkrankungen bei 206 PCV13-geimpften Kindern in Katalonien 2018–2023 mit Impfquoten &gt;96%.</w:t>
      </w:r>
    </w:p>
    <w:p>
      <w:r>
        <w:rPr>
          <w:b/>
        </w:rPr>
        <w:t xml:space="preserve">Ergebnis: </w:t>
      </w:r>
      <w:r>
        <w:t>48,0% vollständig Geimpfter (n=177) zeigten Impfversagen, vorwiegend durch Serotyp 3 (84,7% der Fälle). Im Vergleich zur Vor-PCV13-Ära war der Schutz länger haltbar, aber der Anteil von Serotyp-3-Durchbrüchen blieb erheblich. Ausschluss von Serotyp 3 senkte die Impfversagensrate von 48,0% auf 12,4%.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Impfprogramm und Surveillance-System.</w:t>
      </w:r>
    </w:p>
    <w:p>
      <w:r>
        <w:rPr>
          <w:color w:val="5A7D3A"/>
          <w:sz w:val="18"/>
        </w:rPr>
        <w:t>https://pubmed.ncbi.nlm.nih.gov/42486053/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