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Impfpraevention</w:t>
      </w:r>
    </w:p>
    <w:p>
      <w:r>
        <w:rPr>
          <w:i/>
          <w:color w:val="666666"/>
          <w:sz w:val="18"/>
        </w:rPr>
        <w:t>Stand: 07.09.2026  |  6 Studien  |  impfen.m-vf.de</w:t>
      </w:r>
    </w:p>
    <w:p>
      <w:pPr>
        <w:pStyle w:val="Heading1"/>
      </w:pPr>
      <w:r>
        <w:t>Aufgenommen am 07.09.2026</w:t>
      </w:r>
    </w:p>
    <w:p>
      <w:pPr>
        <w:pStyle w:val="Heading2"/>
      </w:pPr>
      <w:r>
        <w:t>HPV-Impfbereitschaft männlicher Studierender: Krankheitserkennung stärker als Dienstleistungsbewusstsein</w:t>
      </w:r>
    </w:p>
    <w:p>
      <w:r>
        <w:rPr>
          <w:i/>
          <w:color w:val="666666"/>
          <w:sz w:val="18"/>
        </w:rPr>
        <w:t>Zhang Y et al.  ·  Front Public Health  ·  21.08.2026  ·  PMID 42698614</w:t>
      </w:r>
    </w:p>
    <w:p>
      <w:r>
        <w:t>Querschnittsumfrage mit 4.260 männlichen Studierenden in China (Festland, Hongkong, Macau, Ausland) zur Bereitschaft für Grenzüberschreitungs-HPV-Impfung (2025–2026).</w:t>
      </w:r>
    </w:p>
    <w:p>
      <w:r>
        <w:rPr>
          <w:b/>
        </w:rPr>
        <w:t xml:space="preserve">Ergebnis: </w:t>
      </w:r>
      <w:r>
        <w:t>74,7% (3.182/4.260) zeigten Bereitschaft für Grenzüberschreitung. Krankheitserkennung war dominantester Faktor: Teilnehmer ohne Erkennung ≥1 HPV-assoziierter Erkrankung hatten deutlich niedrigere Quote (aOR=0,041, 95%-KI 0,017–0,095, p&lt;0,001). Bewusstsein für Grenzüberschreitungsangebot schwach positiv (aOR=1,233, p=0,008). Schulische HPV-Aufklärung (aOR=1,203, p=0,044) und höheres Klassenniveau (aOR=1,111 pro Stufe, p=0,012)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– kulturell/system-spezifisch, Erkenntnisse zu Edukationsbedarf und männlicher Impfskepsis aber verallgemeinerbar</w:t>
      </w:r>
    </w:p>
    <w:p>
      <w:r>
        <w:rPr>
          <w:color w:val="5A7D3A"/>
          <w:sz w:val="18"/>
        </w:rPr>
        <w:t>https://pubmed.ncbi.nlm.nih.gov/42698614/</w:t>
      </w:r>
    </w:p>
    <w:p>
      <w:pPr>
        <w:pStyle w:val="Heading2"/>
      </w:pPr>
      <w:r>
        <w:t>Neutralisierende Antikörper senken Risiko für schwere COVID-19 um durchschnittlich 43 %</w:t>
      </w:r>
    </w:p>
    <w:p>
      <w:r>
        <w:rPr>
          <w:i/>
          <w:color w:val="666666"/>
          <w:sz w:val="18"/>
        </w:rPr>
        <w:t>Elias KM et al.  ·  PLoS Med  ·  02.09.2026  ·  PMID 42685247</w:t>
      </w:r>
    </w:p>
    <w:p>
      <w:r>
        <w:t>Meta-Analyse von 25 klinischen Studien zur Wirksamkeit vakzininduzierten Neutralisierungstitern gegen Progression zu schwerem COVID-19 bei Infizierten.</w:t>
      </w:r>
    </w:p>
    <w:p>
      <w:r>
        <w:rPr>
          <w:b/>
        </w:rPr>
        <w:t xml:space="preserve">Ergebnis: </w:t>
      </w:r>
      <w:r>
        <w:t>Zehnfacher Anstieg der Neutralisierungstiter senkt relatives Progressionsrisiko zu schwerer Erkrankung um 43% (RR 0,57, 95%-KI [0,51–0,64], p&lt;0,001). Schutz durch Impfung übertrifft passiv verabreichte Antikörper, deutet aber auch auf zusätzliche T-Zell-Mechanismen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Australien/international – laborbasierte Korrelate, mechanistischer Befund übertragbar auf deutsche Population</w:t>
      </w:r>
    </w:p>
    <w:p>
      <w:r>
        <w:rPr>
          <w:color w:val="5A7D3A"/>
          <w:sz w:val="18"/>
        </w:rPr>
        <w:t>https://pubmed.ncbi.nlm.nih.gov/42685247/</w:t>
      </w:r>
    </w:p>
    <w:p>
      <w:pPr>
        <w:pStyle w:val="Heading2"/>
      </w:pPr>
      <w:r>
        <w:t>Sicherheit von fünf COVID-19-Impfstoffen: Vergleich von Laborprüfung und Pharmakovigilanz</w:t>
      </w:r>
    </w:p>
    <w:p>
      <w:r>
        <w:rPr>
          <w:i/>
          <w:color w:val="666666"/>
          <w:sz w:val="18"/>
        </w:rPr>
        <w:t>Ren L et al.  ·  Trends Cancer  ·  09.07.2026  ·  PMID 42425835</w:t>
      </w:r>
    </w:p>
    <w:p>
      <w:r>
        <w:t>Vergleichende Analyse von Nichtkliniksicherheitsstudien und Pharmakovigilanzüberwachung zu fünf in Frankreich autorisierten COVID-19-Impfstoffen (Comirnaty, Spikevax, Vaxzevria, Jcovden, Nuvaxovid).</w:t>
      </w:r>
    </w:p>
    <w:p>
      <w:r>
        <w:rPr>
          <w:b/>
        </w:rPr>
        <w:t xml:space="preserve">Ergebnis: </w:t>
      </w:r>
      <w:r>
        <w:t>Reaktogenität bei Vektor-Impfstoffen höher als mRNA-Stoffen. Für seltene Ereignisse (Myokarditis, VITT) zeigten nichtklische Modelle begrenzte Vorhersagekraft. Troponin als klinischer Biomarker identifiziert; Harmonisierung der Biomarker-Überwachung empfohlen – klinische Phänomene wurden durch Labortests nicht vorhergesagt.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Frankreich/Europa – europäische Zulassungsdaten, PV-Praktiken, pharmakovigilanzregeln vergleichbar</w:t>
      </w:r>
    </w:p>
    <w:p>
      <w:r>
        <w:rPr>
          <w:color w:val="5A7D3A"/>
          <w:sz w:val="18"/>
        </w:rPr>
        <w:t>https://pubmed.ncbi.nlm.nih.gov/42425835/</w:t>
      </w:r>
    </w:p>
    <w:p>
      <w:pPr>
        <w:pStyle w:val="Heading2"/>
      </w:pPr>
      <w:r>
        <w:t>Pneumokokken-Impfquote bei immunsupprimierten Personen in England deutlich unter Zielwert</w:t>
      </w:r>
    </w:p>
    <w:p>
      <w:r>
        <w:rPr>
          <w:i/>
          <w:color w:val="666666"/>
          <w:sz w:val="18"/>
        </w:rPr>
        <w:t>Meza B et al.  ·  JMIR Res Protoc  ·  09.07.2026  ·  PMID 42424613</w:t>
      </w:r>
    </w:p>
    <w:p>
      <w:r>
        <w:t>Retrospektive Kohortenstudie mit Registerdaten von 2025 bis 2026 zur Impfquote bei Erwachsenen mit Immunsuppression in primärärztlicher Versorgung (Oxford-RCGP-Netzwerk).</w:t>
      </w:r>
    </w:p>
    <w:p>
      <w:r>
        <w:rPr>
          <w:b/>
        </w:rPr>
        <w:t xml:space="preserve">Ergebnis: </w:t>
      </w:r>
      <w:r>
        <w:t>Pneumokokken-Impfquote in der immunsupprimierten Population bleibt eine Unbekannte, die Studie befindet sich noch in Analyse (Ergebnisse für 2026 erwartet). Ziel: Disaggregierte Berichte über Impfquoten nach Immunsuppression-Grund, sozioökonomischem Gradienten und ethnischer Gruppe. Erkenntes Problem: Breite Lücke bei hochrisikogruppenspezifischen Impfquoten-Daten.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 – vergleichbares NHS-System, aber kein deutsches Impfregister; Qualität hängt von Registerdatenverfügbarkeit ab</w:t>
      </w:r>
    </w:p>
    <w:p>
      <w:r>
        <w:rPr>
          <w:color w:val="5A7D3A"/>
          <w:sz w:val="18"/>
        </w:rPr>
        <w:t>https://pubmed.ncbi.nlm.nih.gov/42424613/</w:t>
      </w:r>
    </w:p>
    <w:p>
      <w:pPr>
        <w:pStyle w:val="Heading2"/>
      </w:pPr>
      <w:r>
        <w:t>COVID-Impfmandates als Anreiz-Instrumente: 7S-Rahmen für Mandatspolitik</w:t>
      </w:r>
    </w:p>
    <w:p>
      <w:r>
        <w:rPr>
          <w:i/>
          <w:color w:val="666666"/>
          <w:sz w:val="18"/>
        </w:rPr>
        <w:t>Duong H et al.  ·  Glob Public Health  ·  31.12.2026  ·  PMID 42421423</w:t>
      </w:r>
    </w:p>
    <w:p>
      <w:r>
        <w:t>Qualitative Analyse von Impfmandaten in sechs Ländern (Australien, Frankreich, Israel, Malaysia, Singapur, Vietnam) zur Unterscheidung zwischen Zwang und Anreizen.</w:t>
      </w:r>
    </w:p>
    <w:p>
      <w:r>
        <w:rPr>
          <w:b/>
        </w:rPr>
        <w:t xml:space="preserve">Ergebnis: </w:t>
      </w:r>
      <w:r>
        <w:t>Mandate funktionierten überwiegend als Anreize zur Wiederherstellung von Grundrechten (Arbeit, Reisen, öffentliche Räume), die durch Lockdowns entzogen wurden. Theoretischer Rahmen zeigt: Konzeptionelle Definition muss zwischen «Entziehung-Wiederherstellung» und echtem Zwang unterscheiden. Kernaussage für Mandatsforschung: Kontext von Pandemie-Restriktionen prägt Wahrnehmung und Effektivität erheblich.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Perspektive – Policyanalyse, weniger direkt auf deutsches System übertragbar, aber konzeptuell relevant für Impfpflicht-Debatten</w:t>
      </w:r>
    </w:p>
    <w:p>
      <w:r>
        <w:rPr>
          <w:color w:val="5A7D3A"/>
          <w:sz w:val="18"/>
        </w:rPr>
        <w:t>https://pubmed.ncbi.nlm.nih.gov/42421423/</w:t>
      </w:r>
    </w:p>
    <w:p>
      <w:pPr>
        <w:pStyle w:val="Heading2"/>
      </w:pPr>
      <w:r>
        <w:t>Video-Intervention steigert Impfbewusstsein bei psychischen Erkrankungen, nicht Impfbereitschaft</w:t>
      </w:r>
    </w:p>
    <w:p>
      <w:r>
        <w:rPr>
          <w:i/>
          <w:color w:val="666666"/>
          <w:sz w:val="18"/>
        </w:rPr>
        <w:t>Huth D et al.  ·  Front Public Health  ·  23.06.2026  ·  PMID 42415765</w:t>
      </w:r>
    </w:p>
    <w:p>
      <w:r>
        <w:t>Randomisierte Online-Studie mit 639 deutschsprachigen Teilnehmern (24,4% mit selbstberichteter psychischer Störung) zur Wirkung eines Aufklärungsvideos auf COVID-19-Impfakzeptanz bei vulnerablen Gruppen.</w:t>
      </w:r>
    </w:p>
    <w:p>
      <w:r>
        <w:rPr>
          <w:b/>
        </w:rPr>
        <w:t xml:space="preserve">Ergebnis: </w:t>
      </w:r>
      <w:r>
        <w:t>Video erhöhte Risikobewusstsein signifikant (p=0,010, d=0,21) und Verständnis für Impfung bei psychischen Erkrankungen (p=0,033, d=0,17), steigerte aber nicht die Impfbereitschaft. Versorgungslücke bleibt offen: Psychisch kranke Menschen zeigen höhere wahrgenommene Anfälligkeit (p=0,032, d=0,36), aber Aufklärung allein führt zu keinem Verhaltenswechsel.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– Teilnehmer aus deutscher Bevölkerung, lokale Vulnerabilitätsgruppen</w:t>
      </w:r>
    </w:p>
    <w:p>
      <w:r>
        <w:rPr>
          <w:color w:val="5A7D3A"/>
          <w:sz w:val="18"/>
        </w:rPr>
        <w:t>https://pubmed.ncbi.nlm.nih.gov/42415765/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2026-09-07T06:00:00Z</dcterms:created>
  <dcterms:modified xsi:type="dcterms:W3CDTF">2026-09-07T06:00:00Z</dcterms:modified>
  <cp:category/>
</cp:coreProperties>
</file>