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25.09.2026  |  6 Studien  |  impfen.m-vf.de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SARS-CoV-2-Impfstoffverfügbarkeit in ruralen Regionen sub-Sahara-Afrikas – systematisches Reviewprotokoll</w:t>
      </w:r>
    </w:p>
    <w:p>
      <w:r>
        <w:rPr>
          <w:i/>
          <w:color w:val="666666"/>
          <w:sz w:val="18"/>
        </w:rPr>
        <w:t>Nyangi E et al.  ·  BMJ Open  ·  24.09.2026  ·  PMID 42785944</w:t>
      </w:r>
    </w:p>
    <w:p>
      <w:r>
        <w:t>Systematisches Reviewprotokoll zu Verfügbarkeit und Erreichbarkeit von COVID-19-Impfstoffen bei ruraler Bevölkerung in sub-Sahara-Afrika (Suche Oktober 2025–Oktober 2027).</w:t>
      </w:r>
    </w:p>
    <w:p>
      <w:r>
        <w:rPr>
          <w:b/>
        </w:rPr>
        <w:t xml:space="preserve">Ergebnis: </w:t>
      </w:r>
      <w:r>
        <w:t>Systematisches Review und Meta-Analyse in Planung; quantitative Befunde werden mit Modell mit Zufallseffekten gepoolt, qualitative Befunde thematisch synthetisiert. Schwerpunkt: strukturelle Barrieren, schwache Gesundheitssysteme, Ressourcenmangel.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Sub-Sahara-Afrika, methodisch relevant für Reichweitenanalysen, aber Ressourcenlage sehr unterschiedlich</w:t>
      </w:r>
    </w:p>
    <w:p>
      <w:r>
        <w:rPr>
          <w:color w:val="5A7D3A"/>
          <w:sz w:val="18"/>
        </w:rPr>
        <w:t>https://pubmed.ncbi.nlm.nih.gov/42785944/</w:t>
      </w:r>
    </w:p>
    <w:p>
      <w:pPr>
        <w:pStyle w:val="Heading2"/>
      </w:pPr>
      <w:r>
        <w:t>Kostenloses Grippeimpfangebot erhöht Impfquote und psychisches Wohlbefinden älterer Menschen</w:t>
      </w:r>
    </w:p>
    <w:p>
      <w:r>
        <w:rPr>
          <w:i/>
          <w:color w:val="666666"/>
          <w:sz w:val="18"/>
        </w:rPr>
        <w:t>Wang Y  ·  Front Public Health  ·  09.09.2026  ·  PMID 42780378</w:t>
      </w:r>
    </w:p>
    <w:p>
      <w:r>
        <w:t>Chinesische Differenz-in-Differenzen-Analyse zur Wirkung einer kostenlosen Grippeimpfpolitik für die Bevölkerung ab 60 Jahren auf Impfquoten und Gesundheit.</w:t>
      </w:r>
    </w:p>
    <w:p>
      <w:r>
        <w:rPr>
          <w:b/>
        </w:rPr>
        <w:t xml:space="preserve">Ergebnis: </w:t>
      </w:r>
      <w:r>
        <w:t>Die Impfquote stieg um 23 Prozentpunkte. Die Wahrscheinlichkeit, dass gesundheitliche Probleme die täglichen Aktivitäten einschränken, sank um 16,9 Prozentpunkte; das Gefühl von Energie stieg um 28,1 Prozentpunkte. Der Effekt funktioniert über Verhaltenspfade, nicht nur biologisch.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Versorgungsfrage (Kostenfreiheit und Quote) übertragbar auf Deutschland-Diskussionen zur Impffinanzierung</w:t>
      </w:r>
    </w:p>
    <w:p>
      <w:r>
        <w:rPr>
          <w:color w:val="5A7D3A"/>
          <w:sz w:val="18"/>
        </w:rPr>
        <w:t>https://pubmed.ncbi.nlm.nih.gov/42780378/</w:t>
      </w:r>
    </w:p>
    <w:p>
      <w:pPr>
        <w:pStyle w:val="Heading2"/>
      </w:pPr>
      <w:r>
        <w:t>Impfwissen und Eigenimpfung prägen Impfempfehlung durch Gesundheitspersonal</w:t>
      </w:r>
    </w:p>
    <w:p>
      <w:r>
        <w:rPr>
          <w:i/>
          <w:color w:val="666666"/>
          <w:sz w:val="18"/>
        </w:rPr>
        <w:t>Shi H et al.  ·  Front Public Health  ·  09.09.2026  ·  PMID 42780248</w:t>
      </w:r>
    </w:p>
    <w:p>
      <w:r>
        <w:t>Querschnittstudie zu Pfad zwischen Grippeimpfwissen, Eigenimpfung, zukünftiger Impfbereitschaft und Empfehlungsverhalten bei 4.238 Beschäftigten im Gesundheitswesen in Beijing.</w:t>
      </w:r>
    </w:p>
    <w:p>
      <w:r>
        <w:rPr>
          <w:b/>
        </w:rPr>
        <w:t xml:space="preserve">Ergebnis: </w:t>
      </w:r>
      <w:r>
        <w:t>22,1 % waren aktuell geimpft, 43,7 % wollten sich nächste Saison impfen, 82,0 % empfahlen Impfung Patienten. Impfwissen korrelierte mit Impfquote (β = 0,09, p &lt; 0,001); Eigenimpfung vorhersagend für zukünftige Impfbereitschaft (β = 0,47); zukünftige Bereitschaft stärkster Prädiktor für Empfehlung (β = 0,41,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Pfadmodell (Wissen → Verhalten → Empfehlung) systemübergreifend relevant</w:t>
      </w:r>
    </w:p>
    <w:p>
      <w:r>
        <w:rPr>
          <w:color w:val="5A7D3A"/>
          <w:sz w:val="18"/>
        </w:rPr>
        <w:t>https://pubmed.ncbi.nlm.nih.gov/42780248/</w:t>
      </w:r>
    </w:p>
    <w:p>
      <w:pPr>
        <w:pStyle w:val="Heading2"/>
      </w:pPr>
      <w:r>
        <w:t>Impflücken bei Flüchtlingen und Migranten in Uganda: Systematische Analyse von Barrieren und Lösungen</w:t>
      </w:r>
    </w:p>
    <w:p>
      <w:r>
        <w:rPr>
          <w:i/>
          <w:color w:val="666666"/>
          <w:sz w:val="18"/>
        </w:rPr>
        <w:t>Nakachwa SM et al.  ·  Glob Public Health  ·  31.12.2026  ·  PMID 42776600</w:t>
      </w:r>
    </w:p>
    <w:p>
      <w:r>
        <w:t>Narrative Review zu Impfquoten, Barrieren und Maßnahmen bei Flüchtlingen und Migranten in Uganda bis September 2025.</w:t>
      </w:r>
    </w:p>
    <w:p>
      <w:r>
        <w:rPr>
          <w:b/>
        </w:rPr>
        <w:t xml:space="preserve">Ergebnis: </w:t>
      </w:r>
      <w:r>
        <w:t>Flüchtlings-Impfquoten unter nationalen Durchschnitten durch administrative Hürden, Engpässe, Entfernungen, Sprachhindernisse und Desinformation. Erfolgreiche Ansätze: Integration in nationale Systeme, vereinfachte Registrierung, mobile Angebote, Gemeindegesundheitspersonal, grenzübergreifende Datenkoordination.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Uganda, aber Barrieren und Strategien (mobil, registrierungsarmut) für vulnerable Gruppen übertragbar</w:t>
      </w:r>
    </w:p>
    <w:p>
      <w:r>
        <w:rPr>
          <w:color w:val="5A7D3A"/>
          <w:sz w:val="18"/>
        </w:rPr>
        <w:t>https://pubmed.ncbi.nlm.nih.gov/42776600/</w:t>
      </w:r>
    </w:p>
    <w:p>
      <w:pPr>
        <w:pStyle w:val="Heading2"/>
      </w:pPr>
      <w:r>
        <w:t>Grippeimpfquote bei Fachpersonen in Guangzhou: Unterschiede nach Arbeitsstätte und Wissenstyp</w:t>
      </w:r>
    </w:p>
    <w:p>
      <w:r>
        <w:rPr>
          <w:i/>
          <w:color w:val="666666"/>
          <w:sz w:val="18"/>
        </w:rPr>
        <w:t>Lin D et al.  ·  Expert Rev Vaccines  ·  23.09.2026  ·  PMID 42775460</w:t>
      </w:r>
    </w:p>
    <w:p>
      <w:r>
        <w:t>Querschnittstudie unter 3.153 Gesundheitsfachleuten in Grundversorgung, Krankenhäusern und Schulen zur Grippeimpfquote und Empfehlungsverhalten.</w:t>
      </w:r>
    </w:p>
    <w:p>
      <w:r>
        <w:rPr>
          <w:b/>
        </w:rPr>
        <w:t xml:space="preserve">Ergebnis: </w:t>
      </w:r>
      <w:r>
        <w:t>46,2 % waren mindestens in einer der letzten vier Saisons geimpft, durchschnittliche saisonale Quote 28,2 %. Öffentlichkeitsgesundheit: OR 2,53, Schulgesundheit: OR 0,64 vs. Ärzte. Impfstoffwissen positiv assoziiert mit Impfung (OR 1,09) und Empfehlungsverhalten (OR 1,11).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Versorgungsmuster (Quote nach Berufsgruppe) international vergleichbar</w:t>
      </w:r>
    </w:p>
    <w:p>
      <w:r>
        <w:rPr>
          <w:color w:val="5A7D3A"/>
          <w:sz w:val="18"/>
        </w:rPr>
        <w:t>https://pubmed.ncbi.nlm.nih.gov/42775460/</w:t>
      </w:r>
    </w:p>
    <w:p>
      <w:pPr>
        <w:pStyle w:val="Heading2"/>
      </w:pPr>
      <w:r>
        <w:t>HPV-Impfung und HPV-Screening kombiniert für vulnerable Frauen in Europa – Implementierungsprotokoll</w:t>
      </w:r>
    </w:p>
    <w:p>
      <w:r>
        <w:rPr>
          <w:i/>
          <w:color w:val="666666"/>
          <w:sz w:val="18"/>
        </w:rPr>
        <w:t>Mosquera I et al.  ·  Cancer Control  ·  02.09.2026  ·  PMID 42683830</w:t>
      </w:r>
    </w:p>
    <w:p>
      <w:r>
        <w:t>Implementierungsstudienprotokoll zur Kapazität von Gesundheitssystemen, HPV-Impfung und HPV-basiertes Screening kombiniert für vulnerable Gruppen (25–45 Jahre) in Spanien, Schweden, Dänemark, Rumänien und Frankreich anzubieten.</w:t>
      </w:r>
    </w:p>
    <w:p>
      <w:r>
        <w:rPr>
          <w:b/>
        </w:rPr>
        <w:t xml:space="preserve">Ergebnis: </w:t>
      </w:r>
      <w:r>
        <w:t>Protokoll umfasst Schreibtischreview, Vor-Ort-Prüfungen und Stakeholder-Interviews. Ziel: Systemkapazität messen und Strategien zur HPV-Schneller-Elimination in Europa tailoriert stärken. Studie läuft.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Mehrere europäische Länder (DACH-nahes System), vergleichbare nationale Gesundheitssysteme</w:t>
      </w:r>
    </w:p>
    <w:p>
      <w:r>
        <w:rPr>
          <w:color w:val="5A7D3A"/>
          <w:sz w:val="18"/>
        </w:rPr>
        <w:t>https://pubmed.ncbi.nlm.nih.gov/42683830/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