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02.09.2026  |  6 Studien  |  impfen.m-vf.de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Grippeimpfstoff-Wirksamkeit gegen mild und schwer verlaufende Infektionen in Portugal</w:t>
      </w:r>
    </w:p>
    <w:p>
      <w:r>
        <w:rPr>
          <w:i/>
          <w:color w:val="666666"/>
          <w:sz w:val="18"/>
        </w:rPr>
        <w:t>Mourao F et al.  ·  Influenza Other Respir Viruses  ·  Sept. 2026  ·  PMID 42675936</w:t>
      </w:r>
    </w:p>
    <w:p>
      <w:r>
        <w:t>Testvergleichsstudie an 3.393 PCR-getesteten Patienten in Portugal (2015/16–2023/24) zur Grippeimpfstoff-Effektivität (IVE) gegen leichte und schwere Erkrankung.</w:t>
      </w:r>
    </w:p>
    <w:p>
      <w:r>
        <w:rPr>
          <w:b/>
        </w:rPr>
        <w:t xml:space="preserve">Ergebnis: </w:t>
      </w:r>
      <w:r>
        <w:t>IVE betrug 40,4 % (KI 22,7–54,0) bei ambulanten Patienten und 38,7 % (KI 17,6–54,5) bei hospitalisierten Fällen; Unterschied von 1,7 % war statistisch nicht signifikant (KI −22,0; 26,8). Keine relevanten Unterschiede in Subgruppen (≥65 Jahre, Komorbiditäten, Influenza-A-Subtypen). Impfstoff schützt über Versorgungssettings hinweg ähnlich gut.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EU-Nachbarland, Gesundheitssystem vergleichbar mit Deutschland</w:t>
      </w:r>
    </w:p>
    <w:p>
      <w:r>
        <w:rPr>
          <w:color w:val="5A7D3A"/>
          <w:sz w:val="18"/>
        </w:rPr>
        <w:t>https://pubmed.ncbi.nlm.nih.gov/42675936/</w:t>
      </w:r>
    </w:p>
    <w:p>
      <w:pPr>
        <w:pStyle w:val="Heading2"/>
      </w:pPr>
      <w:r>
        <w:t>HPV-Impfprogramme weltweit: Schulgebundenes Impfen erzielte höchste Quoten</w:t>
      </w:r>
    </w:p>
    <w:p>
      <w:r>
        <w:rPr>
          <w:i/>
          <w:color w:val="666666"/>
          <w:sz w:val="18"/>
        </w:rPr>
        <w:t>Kyei GK et al.  ·  J Nurs Scholarsh  ·  Sept. 2026  ·  PMID 42670010</w:t>
      </w:r>
    </w:p>
    <w:p>
      <w:r>
        <w:t>Qualitative Vergleichsanalyse von HPV-Impfrichtlinien in acht Ländern (Australien, Brasilien, Japan, Nigeria, Ruanda, Schweden, Großbritannien, USA) zur Identifikation von Einflussfaktoren auf Impfquoten.</w:t>
      </w:r>
    </w:p>
    <w:p>
      <w:r>
        <w:rPr>
          <w:b/>
        </w:rPr>
        <w:t xml:space="preserve">Ergebnis: </w:t>
      </w:r>
      <w:r>
        <w:t>Fünf Programmarchetypen identifiziert. Schulgebundene universelle Programme mit Pflegekräfte-Unterstützung erzielten höchste und gerechteste Abdeckung. Ruanda erreichte trotz Mädchen-fokussiertem, Donor-finanziertem Modell 98 % (Governance und Vertrauen überwogen Programmdesign). Transition zu Ein-Dosis-Impfung erfordert landesspezifische Anpassung.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Programm-Vergleich, Strukturmerkmale übertragbar, insbesondere schulbasierte Systeme</w:t>
      </w:r>
    </w:p>
    <w:p>
      <w:r>
        <w:rPr>
          <w:color w:val="5A7D3A"/>
          <w:sz w:val="18"/>
        </w:rPr>
        <w:t>https://pubmed.ncbi.nlm.nih.gov/42670010/</w:t>
      </w:r>
    </w:p>
    <w:p>
      <w:pPr>
        <w:pStyle w:val="Heading2"/>
      </w:pPr>
      <w:r>
        <w:t>ChAdOx1 nCoV-19: Langzeitsicherheit bei 4.470 Probanden über 11,77 Monate</w:t>
      </w:r>
    </w:p>
    <w:p>
      <w:r>
        <w:rPr>
          <w:i/>
          <w:color w:val="666666"/>
          <w:sz w:val="18"/>
        </w:rPr>
        <w:t>Ebrahimi N et al.  ·  Vaccine  ·  13.08.2026  ·  PMID 42472497</w:t>
      </w:r>
    </w:p>
    <w:p>
      <w:r>
        <w:t>Prospektive Kohortenstudie von Probanden aus ChAdOx1-nCoV-19-Originalstudien mit follow-up September 2021–April 2022, Erfassung schwerwiegender unerwünschter Ereignisse (SAE) und Ereignisse von besonderem Interesse (AESI) nach Brighton-Collaboration-Definitionen.</w:t>
      </w:r>
    </w:p>
    <w:p>
      <w:r>
        <w:rPr>
          <w:b/>
        </w:rPr>
        <w:t xml:space="preserve">Ergebnis: </w:t>
      </w:r>
      <w:r>
        <w:t>4.470 Teilnehmer, 3.845 (86,0 %) Studienabschluss. Mediane Nachbeobachtung 11,77 Monate, 48.116 Personenmonate Gesamtnachbeobachtung. 174 SAE und 71 AESI (33 als beide registriert) bei 195 Teilnehmern, darunter 5 Todesfälle. Gesamtimmunglobulin-IgG gegen trimeres SARS-CoV-2-Spike-Protein zeigte Anstiegstendenz während Studie. Keine emergenten Sicherheitssignale; kontinuierliche Pharmakovigilanz bleibt essentiell, besonders für neurologische Störungen.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Oxford-Studie, NHS-basierte Kohortenverfolgung, vergleichbar mit deutschen Versorgungsdaten</w:t>
      </w:r>
    </w:p>
    <w:p>
      <w:r>
        <w:rPr>
          <w:color w:val="5A7D3A"/>
          <w:sz w:val="18"/>
        </w:rPr>
        <w:t>https://pubmed.ncbi.nlm.nih.gov/42472497/</w:t>
      </w:r>
    </w:p>
    <w:p>
      <w:pPr>
        <w:pStyle w:val="Heading2"/>
      </w:pPr>
      <w:r>
        <w:t>Hochdosis-Grippeimpfung für Senioren in Skandinavien: Kostenwirksamkeit und Nutzen</w:t>
      </w:r>
    </w:p>
    <w:p>
      <w:r>
        <w:rPr>
          <w:i/>
          <w:color w:val="666666"/>
          <w:sz w:val="18"/>
        </w:rPr>
        <w:t>Grootendorst A et al.  ·  Vaccine  ·  13.08.2026  ·  PMID 42468224</w:t>
      </w:r>
    </w:p>
    <w:p>
      <w:r>
        <w:t>Modellrechnung (Entscheidungsbaum-Influenza-Modell) für vier nordische Länder zum Vergleich nationaler Impfpolitik mit ausgeweitertem Hochdosis-Grippeimpfstoff-Programm für Erwachsene ≥65 Jahre.</w:t>
      </w:r>
    </w:p>
    <w:p>
      <w:r>
        <w:rPr>
          <w:b/>
        </w:rPr>
        <w:t xml:space="preserve">Ergebnis: </w:t>
      </w:r>
      <w:r>
        <w:t>Ausweitung auf alle ≥65-Jährigen würde in Schweden 13.929, Finnland 6.411, Norwegen 5.951 und Dänemark 2.438 symptomatische Fälle verhindern; entsprechend 1.615, 804, 762 bzw. 407 gewonnene Lebensjahre. Hospitalisierungen reduziert um 786, 362, 336 bzw. 138; Zusatzkosten €7,7 Mio (Schweden), €2,5 Mio (Finnland), €4,4 Mio (Norwegen), €2,4 Mio (Dänemark) – vertretbar im Verhältnis zur Gesamtausgaben.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Sozialversicherungssysteme vergleichbar mit Deutschland</w:t>
      </w:r>
    </w:p>
    <w:p>
      <w:r>
        <w:rPr>
          <w:color w:val="5A7D3A"/>
          <w:sz w:val="18"/>
        </w:rPr>
        <w:t>https://pubmed.ncbi.nlm.nih.gov/42468224/</w:t>
      </w:r>
    </w:p>
    <w:p>
      <w:pPr>
        <w:pStyle w:val="Heading2"/>
      </w:pPr>
      <w:r>
        <w:t>Bereitschaft zur Cholera-Impfung in sechs afrikanischen Ländern: Psychologische Faktoren und Krankheitsrisiko</w:t>
      </w:r>
    </w:p>
    <w:p>
      <w:r>
        <w:rPr>
          <w:i/>
          <w:color w:val="666666"/>
          <w:sz w:val="18"/>
        </w:rPr>
        <w:t>Geiger M et al.  ·  Vaccine  ·  13.08.2026  ·  PMID 42462676</w:t>
      </w:r>
    </w:p>
    <w:p>
      <w:r>
        <w:t>Querschnittsbefragung von 14.132 englischsprachigen Teilnehmern in Ghana, Kenia, Nigeria, Südafrika, Tansania und Uganda zur Impfbereitschaft gegen Cholera anhand des 7C-Modells (Vertrauen, Unachtsamkeit, Zwänge, Berechnung, kollektive Verantwortung, Einhaltung, Verschwörungsdenken).</w:t>
      </w:r>
    </w:p>
    <w:p>
      <w:r>
        <w:rPr>
          <w:b/>
        </w:rPr>
        <w:t xml:space="preserve">Ergebnis: </w:t>
      </w:r>
      <w:r>
        <w:t>Impfbereitschaft korrelierte stark mit selbstberichteter Cholera-Impfstatus (d = 0,32) und allgemeinem Impfstatus (r = 0,35). Persönliche Cholera-Erfahrung assoziiert mit höherer Bereitschaft (d = 0,14). Auf Länderebene: Durchschnittliche Bereitschaft korrelierte stark mit Cholera-Inzidenz letzte drei Jahre (ρ = 0,89) – höhere Bereitschaft in Ländern mit höherer Krankheitslast.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methodologische Erkenntnis zu Vaccine Hesitancy-Messung in Ländern mit niedrigem Impfniveau</w:t>
      </w:r>
    </w:p>
    <w:p>
      <w:r>
        <w:rPr>
          <w:color w:val="5A7D3A"/>
          <w:sz w:val="18"/>
        </w:rPr>
        <w:t>https://pubmed.ncbi.nlm.nih.gov/42462676/</w:t>
      </w:r>
    </w:p>
    <w:p>
      <w:pPr>
        <w:pStyle w:val="Heading2"/>
      </w:pPr>
      <w:r>
        <w:t>SARS-CoV-2-Impfung bei Stammzell-Transplantierten: Antikörperantwort vergleichbar mit Gesunden</w:t>
      </w:r>
    </w:p>
    <w:p>
      <w:r>
        <w:rPr>
          <w:i/>
          <w:color w:val="666666"/>
          <w:sz w:val="18"/>
        </w:rPr>
        <w:t>Maier CP et al.  ·  Front Immunol  ·  01.07.2026  ·  PMID 42459652</w:t>
      </w:r>
    </w:p>
    <w:p>
      <w:r>
        <w:t>Längsschnitt-Studie an 354 allogenen Stammzell-Transplantierten und 647 gesunden Kontrollen zu IgG-, IgM-, IgA-Antikörper-Kinetik gegen SARS-CoV-2-Antigene nach mRNA-, Vektor- und Protein-Impfstoff-Dosen.</w:t>
      </w:r>
    </w:p>
    <w:p>
      <w:r>
        <w:rPr>
          <w:b/>
        </w:rPr>
        <w:t xml:space="preserve">Ergebnis: </w:t>
      </w:r>
      <w:r>
        <w:t>Anti-Spike-IgG-Serokonversion: nach 1. Dosis 27 % (Patienten) vs. 28 % (Kontrollen), nach 2. Dosis 65 % vs. 59 %, nach 3. Dosis 93 % vs. 98 %. Nach drei Dosen keine signifikanten Unterschiede mehr zwischen Gruppen. IgM/IgA selten. Negative Prädiktoren nach 1. Dosis (Diagnose, kürzeres Intervall, niedrige Lymphozyten), nach 3. Dosis keine. Antikörperspiegel ≥6 Monate stabil. Durchbruchinfektionen mild.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deutschsprachige Autoren (Tübingen), Transplantationszentren vergleichbar</w:t>
      </w:r>
    </w:p>
    <w:p>
      <w:r>
        <w:rPr>
          <w:color w:val="5A7D3A"/>
          <w:sz w:val="18"/>
        </w:rPr>
        <w:t>https://pubmed.ncbi.nlm.nih.gov/42459652/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2026-09-02T06:00:00Z</dcterms:created>
  <dcterms:modified xsi:type="dcterms:W3CDTF">2026-09-02T06:00:00Z</dcterms:modified>
  <cp:category/>
</cp:coreProperties>
</file>