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Impfen und Praevention</w:t>
      </w:r>
    </w:p>
    <w:p>
      <w:r>
        <w:rPr>
          <w:i/>
          <w:color w:val="666666"/>
          <w:sz w:val="18"/>
        </w:rPr>
        <w:t>Stand: 11.10.2026  |  6 Studien  |  impfen.m-vf.de</w:t>
      </w:r>
    </w:p>
    <w:p>
      <w:pPr>
        <w:pStyle w:val="Heading1"/>
      </w:pPr>
      <w:r>
        <w:t>Aufgenommen am 11.10.2026</w:t>
      </w:r>
    </w:p>
    <w:p>
      <w:pPr>
        <w:pStyle w:val="Heading2"/>
      </w:pPr>
      <w:r>
        <w:t>Impfbereitschaft bei europäischen Gesundheitsstudierenden: nur ein Drittel willig</w:t>
      </w:r>
    </w:p>
    <w:p>
      <w:r>
        <w:rPr>
          <w:i/>
          <w:color w:val="666666"/>
          <w:sz w:val="18"/>
        </w:rPr>
        <w:t>Yiallouris A et al.  ·  JMIR Public Health Surveill  ·  09.10.2026  ·  PMID 42854231</w:t>
      </w:r>
    </w:p>
    <w:p>
      <w:r>
        <w:t>Querschnittsbefragung von 1.192 europäischen Studierenden der Medizin, Zahnmedizin, Pflege, Pharmazie und verwandter Gesundheitsberufe zur Bereitschaft, an zukünftigen Impfstoffstudien teilzunehmen.</w:t>
      </w:r>
    </w:p>
    <w:p>
      <w:r>
        <w:rPr>
          <w:b/>
        </w:rPr>
        <w:t xml:space="preserve">Ergebnis: </w:t>
      </w:r>
      <w:r>
        <w:t>32,9 % zeigten Teilnahmebereitschaft, 38,8 % waren unentschlossen, 28,3 % unwillig. Hauptbarrieren: Angst vor Nebenwirkungen (74,6 %), Bedenken als "Versuchsperson" zu dienen (35,9 %). Motivatoren: transparente Sicherheitskommunikation, Verständnis von Risiken, persönliche Schutzgarantien.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Verbundstudie, Transfer auf Rekrutierungsstrategien für Impfstudien in DACH begrenzt.</w:t>
      </w:r>
    </w:p>
    <w:p>
      <w:r>
        <w:rPr>
          <w:color w:val="5A7D3A"/>
          <w:sz w:val="18"/>
        </w:rPr>
        <w:t>https://pubmed.ncbi.nlm.nih.gov/42854231/</w:t>
      </w:r>
    </w:p>
    <w:p>
      <w:pPr>
        <w:pStyle w:val="Heading2"/>
      </w:pPr>
      <w:r>
        <w:t>HPV-Impfquoten in den USA: Schuleingangsanforderungen und Fachkompetenz essentiell</w:t>
      </w:r>
    </w:p>
    <w:p>
      <w:r>
        <w:rPr>
          <w:i/>
          <w:color w:val="666666"/>
          <w:sz w:val="18"/>
        </w:rPr>
        <w:t>Escabí-Wojna E et al.  ·  Front Public Health  ·  24.09.2026  ·  PMID 42851744</w:t>
      </w:r>
    </w:p>
    <w:p>
      <w:r>
        <w:t>Explorative qualitative Studie mit 9 Schlüsselpersonen aus 6 US-Bundesstaaten und -Bezirken zur Förderung der HPV-Impfung nach COVID-19.</w:t>
      </w:r>
    </w:p>
    <w:p>
      <w:r>
        <w:rPr>
          <w:b/>
        </w:rPr>
        <w:t xml:space="preserve">Ergebnis: </w:t>
      </w:r>
      <w:r>
        <w:t>Zentrale Erfolgsfaktoren identifiziert: Aufklärung der Impfanbieter, Schuleingangsanforderungen, Krebsprävention-Messaging, vertrauenswürdige Informanten, kultursensitive Ansprache, Sektorübergreifende Partnerschaften. Barrieren: Impfmissinformation, gestiegene Hesitancy post-COVID, regionale Unterschiede in Regelwerk.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- Regelwerk und Zugangsstrukturen unterscheiden sich; Kommunikationsprinzipien übertragbar.</w:t>
      </w:r>
    </w:p>
    <w:p>
      <w:r>
        <w:rPr>
          <w:color w:val="5A7D3A"/>
          <w:sz w:val="18"/>
        </w:rPr>
        <w:t>https://pubmed.ncbi.nlm.nih.gov/42851744/</w:t>
      </w:r>
    </w:p>
    <w:p>
      <w:pPr>
        <w:pStyle w:val="Heading2"/>
      </w:pPr>
      <w:r>
        <w:t>Immunlücken bei Masern und Röteln: junge Frauen in China gefährdet</w:t>
      </w:r>
    </w:p>
    <w:p>
      <w:r>
        <w:rPr>
          <w:i/>
          <w:color w:val="666666"/>
          <w:sz w:val="18"/>
        </w:rPr>
        <w:t>Sun X et al.  ·  Front Immunol  ·  24.09.2026  ·  PMID 42851700</w:t>
      </w:r>
    </w:p>
    <w:p>
      <w:r>
        <w:t>Querschnittsseroepidemiologische Studie bei 1.196 schwangeren Frauen in der Provinz Jiangsu (China) zur Röteln-Immunität nach Impfung.</w:t>
      </w:r>
    </w:p>
    <w:p>
      <w:r>
        <w:rPr>
          <w:b/>
        </w:rPr>
        <w:t xml:space="preserve">Ergebnis: </w:t>
      </w:r>
      <w:r>
        <w:t>Gesamt-Seroprävalenz Röteln-IgG: 61,45 % (geometrisches Mittel 24,21 IE/mL). Seroprävalenz stieg mit Alter: 37,77 % bei ≤24 Jahren auf ~75 % bei ≥30 Jahren. Jüngere Geburtskohorten zeigten deutlich niedrigere Seroprävalenz und Antikörper, trotz anhaltend hoher RCV-Impfquoten. Maternal age war unabhängig mit Immunität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- Daten zeigen, dass auch bei etablierten Impfprogrammen Kohorten-Lücken entstehen; international relevantes Muster.</w:t>
      </w:r>
    </w:p>
    <w:p>
      <w:r>
        <w:rPr>
          <w:color w:val="5A7D3A"/>
          <w:sz w:val="18"/>
        </w:rPr>
        <w:t>https://pubmed.ncbi.nlm.nih.gov/42851700/</w:t>
      </w:r>
    </w:p>
    <w:p>
      <w:pPr>
        <w:pStyle w:val="Heading2"/>
      </w:pPr>
      <w:r>
        <w:t>Impfquoten gegen Atemwegsinfektionen bei Älteren bleiben deutlich unter Ziel</w:t>
      </w:r>
    </w:p>
    <w:p>
      <w:r>
        <w:rPr>
          <w:i/>
          <w:color w:val="666666"/>
          <w:sz w:val="18"/>
        </w:rPr>
        <w:t>Paccalin M et al.  ·  Geriatr Psychol Neuropsychiatr Vieil  ·  01.09.2026  ·  PMID 42842819</w:t>
      </w:r>
    </w:p>
    <w:p>
      <w:r>
        <w:t>Narrativer Review zu Epidemiologie, Effektivität und Empfehlungen für COVID-19-, RSV-, Influenza- und Pneumokokken-Impfungen bei älteren Menschen in Frankreich 2026.</w:t>
      </w:r>
    </w:p>
    <w:p>
      <w:r>
        <w:rPr>
          <w:b/>
        </w:rPr>
        <w:t xml:space="preserve">Ergebnis: </w:t>
      </w:r>
      <w:r>
        <w:t>Sichere und wirksame Impfstoffe für alle vier Infektionen verfügbar, aber Impfquoten bei Älteren und besonders bei Gesundheitspersonal deutlich unter Zielwert; post-COVID-Hesitancy gestiegen. Empfehlung: verbesserte Information und Aufklärung für Öffentlichkeit und Fachpersonal als wirksamste Strategie.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vergleichbares Sozialversicherungssystem mit Deutschland.</w:t>
      </w:r>
    </w:p>
    <w:p>
      <w:r>
        <w:rPr>
          <w:color w:val="5A7D3A"/>
          <w:sz w:val="18"/>
        </w:rPr>
        <w:t>https://pubmed.ncbi.nlm.nih.gov/42842819/</w:t>
      </w:r>
    </w:p>
    <w:p>
      <w:pPr>
        <w:pStyle w:val="Heading2"/>
      </w:pPr>
      <w:r>
        <w:t>SARS-CoV-2-Impfung nach allogener Stammzelltransplantation: verzögerte Immunantwort, aber gut verträglich</w:t>
      </w:r>
    </w:p>
    <w:p>
      <w:r>
        <w:rPr>
          <w:i/>
          <w:color w:val="666666"/>
          <w:sz w:val="18"/>
        </w:rPr>
        <w:t>Crodel CC et al.  ·  J Cancer Res Clin Oncol  ·  01.10.2026  ·  PMID 42828557</w:t>
      </w:r>
    </w:p>
    <w:p>
      <w:r>
        <w:t>Retrospektive Kohortenstudie von 114 Patienten nach allogener hämatopoetischer Stammzelltransplantation (alloHSCT) zur Immunogenität und Sicherheit der SARS-CoV-2-Impfung.</w:t>
      </w:r>
    </w:p>
    <w:p>
      <w:r>
        <w:rPr>
          <w:b/>
        </w:rPr>
        <w:t xml:space="preserve">Ergebnis: </w:t>
      </w:r>
      <w:r>
        <w:t>89,4 % waren mindestens zweifach geimpft, 66,7 % dreifach. Nach 2. Dosis erreichten 81,8 % anti-Spike-IgG-Seropositivität, nach 3. Dosis 96,1 %. Patienten geimpft &lt;24 Monate nach alloHSCT hatten signifikant niedrigere IgG-Titer (p=0,017). Häufigste Nebenwirkungen: Armschmerz (34 %), Schwellung (14 %), Gliederschmerzen (17 %). Timing der Impfung beeinflusst Immunantwort.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Klinikdaten, Impfung von Hochrisikopatienten in Regeldokumenten häufig.</w:t>
      </w:r>
    </w:p>
    <w:p>
      <w:r>
        <w:rPr>
          <w:color w:val="5A7D3A"/>
          <w:sz w:val="18"/>
        </w:rPr>
        <w:t>https://pubmed.ncbi.nlm.nih.gov/42828557/</w:t>
      </w:r>
    </w:p>
    <w:p>
      <w:pPr>
        <w:pStyle w:val="Heading2"/>
      </w:pPr>
      <w:r>
        <w:t>Abwasser-Antikörper spiegeln Bevölkerungsimmunität gegen SARS-CoV-2 wider</w:t>
      </w:r>
    </w:p>
    <w:p>
      <w:r>
        <w:rPr>
          <w:i/>
          <w:color w:val="666666"/>
          <w:sz w:val="18"/>
        </w:rPr>
        <w:t>Wannigama DL et al.  ·  Water Res  ·  01.11.2026  ·  PMID 42542021</w:t>
      </w:r>
    </w:p>
    <w:p>
      <w:r>
        <w:t>Longitudinale Kohortenstudie über 3 Jahre (2020–2022) in urbanen und ländlichen Communities in Thailand (ca. 18 Mio. Menschen) zur Messung von Infektions- und Impfintensität via Abwasser.</w:t>
      </w:r>
    </w:p>
    <w:p>
      <w:r>
        <w:rPr>
          <w:b/>
        </w:rPr>
        <w:t xml:space="preserve">Ergebnis: </w:t>
      </w:r>
      <w:r>
        <w:t>Viral RNA zeigte schnellen Anstieg und Rückgang nach Symptombeginn; anti-SARS-CoV-2-IgG verzögert (Peak ~50 Tage), Persistenz mehrere Monate. Nach Impfstart und Infektionswellen konvergierten RNA- und Antikörper-Inzidenzschätzungen, besonders in hochgeimpften urbanen Gebieten. Abwasser-Antikörper korrelierten mit Impfquoten (verzögerter zeitlicher Zusammenhang), schwächer mit Mortalität. Modell ermöglicht parallele Erfassung von Infektionslast und Bevölkerungsimmunität.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Thailand - Methodisch innovativ für Populationsüberwachung; deutsche Gesundheitsämter könnten Abwasser-Surveillance für Impfquoten-Monitoring nutzen.</w:t>
      </w:r>
    </w:p>
    <w:p>
      <w:r>
        <w:rPr>
          <w:color w:val="5A7D3A"/>
          <w:sz w:val="18"/>
        </w:rPr>
        <w:t>https://pubmed.ncbi.nlm.nih.gov/42542021/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Impfen und Praevention</dc:title>
  <dc:subject/>
  <dc:creator>Monitor Versorgungsforschung</dc:creator>
  <cp:keywords/>
  <dc:description>generated by python-docx</dc:description>
  <cp:lastModifiedBy/>
  <cp:revision>1</cp:revision>
  <dcterms:created xsi:type="dcterms:W3CDTF">2026-10-11T06:00:00Z</dcterms:created>
  <dcterms:modified xsi:type="dcterms:W3CDTF">2026-10-11T06:00:00Z</dcterms:modified>
  <cp:category/>
</cp:coreProperties>
</file>