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24.10.2026  |  373 Studien  |  impfen.m-vf.de</w:t>
      </w:r>
    </w:p>
    <w:p>
      <w:pPr>
        <w:pStyle w:val="Heading1"/>
      </w:pPr>
      <w:r>
        <w:t>Aufgenommen am 24.10.2026</w:t>
      </w:r>
    </w:p>
    <w:p>
      <w:pPr>
        <w:pStyle w:val="Heading2"/>
      </w:pPr>
      <w:r>
        <w:t>Dengue-Impfung in Lateinamerika: Wissenshieroglyphen und Umsetzungslücken</w:t>
      </w:r>
    </w:p>
    <w:p>
      <w:r>
        <w:rPr>
          <w:i/>
          <w:color w:val="666666"/>
          <w:sz w:val="18"/>
        </w:rPr>
        <w:t>Arredondo-Nontol MR et al.  ·  Cad Saude Publica  ·  12.10.2026  ·  PMID 42912039</w:t>
      </w:r>
    </w:p>
    <w:p>
      <w:r>
        <w:t>Scoping Review über Wissen, Einstellungen und Praktiken zur Dengue-Impfung in Lateinamerika und der Karibik mit Fokus auf den Unterschied zwischen Einstellungen und tatsächlicher Inanspruchnahme.</w:t>
      </w:r>
    </w:p>
    <w:p>
      <w:r>
        <w:rPr>
          <w:b/>
        </w:rPr>
        <w:t xml:space="preserve">Ergebnis: </w:t>
      </w:r>
      <w:r>
        <w:t>16 Studien zeigten begrenzte Kenntnisse über Impfverfügbarkeit und Sicherheit, aber grundsätzlich positive Einstellungen (hohe Akzeptanz, Zahlungsbereitschaft ca. 23 USD für dreiteilige Serie). Jedoch persistierte eine große Lücke zwischen Einstellung und Umsetzung mit niedriger Impfquotenerfüllung. Besondere Herausforderungen: Sicherheits- und Vertrauensbedenken bei Studienteilnahmen, Wissenslücken zu Wirkungsmechanismen.</w:t>
      </w:r>
    </w:p>
    <w:p>
      <w:r>
        <w:rPr>
          <w:b/>
          <w:sz w:val="19"/>
        </w:rPr>
        <w:t xml:space="preserve">Übertragbarkeit: </w:t>
      </w:r>
      <w:r>
        <w:rPr>
          <w:sz w:val="19"/>
        </w:rPr>
        <w:t>Lateinamerika, aber Erkenntnisse zur Diskrepanz Einstellung/Verhalten übertragbar auf deutsche Vakzin-Skepsis-Strategien</w:t>
      </w:r>
    </w:p>
    <w:p>
      <w:r>
        <w:rPr>
          <w:color w:val="5A7D3A"/>
          <w:sz w:val="18"/>
        </w:rPr>
        <w:t>https://pubmed.ncbi.nlm.nih.gov/42912039/</w:t>
      </w:r>
    </w:p>
    <w:p>
      <w:pPr>
        <w:pStyle w:val="Heading2"/>
      </w:pPr>
      <w:r>
        <w:t>Auffrischungsimpfung in der Pandemie: Was Müdigkeit und Misstrauen bewirken</w:t>
      </w:r>
    </w:p>
    <w:p>
      <w:r>
        <w:rPr>
          <w:i/>
          <w:color w:val="666666"/>
          <w:sz w:val="18"/>
        </w:rPr>
        <w:t>Jin J et al.  ·  Glob Health Action  ·  22.10.2026  ·  PMID 42910459</w:t>
      </w:r>
    </w:p>
    <w:p>
      <w:r>
        <w:t>Längsschnittstudie (689 Erwachsene, Hongkong) zu psychosozialen Faktoren der Bereitschaft für zusätzliche COVID-19-Impfdosen während Pandemiedauer.</w:t>
      </w:r>
    </w:p>
    <w:p>
      <w:r>
        <w:rPr>
          <w:b/>
        </w:rPr>
        <w:t xml:space="preserve">Ergebnis: </w:t>
      </w:r>
      <w:r>
        <w:t>58,2 % zu zusätzlicher Dosis bereit, 18,9 % ablehnend, 22,9 % unentschieden. Erhöhte Pandemie-Müdigkeit assoziiert mit Ablehnung (OR 1,63), niedriges Vertrauen in Behörden mit Ablehnung (OR 0,60), höhere wahrgenommene Bequemlichkeit mit Akzeptanz (OR 1,29). Alltägliche Belastungen bidirektional: erhöhte Chancen sowohl für Ablehnung als auch Akzeptanz je nach subjektiver Maßnahmenbequemlichkeit.</w:t>
      </w:r>
    </w:p>
    <w:p>
      <w:r>
        <w:rPr>
          <w:b/>
          <w:sz w:val="19"/>
        </w:rPr>
        <w:t xml:space="preserve">Übertragbarkeit: </w:t>
      </w:r>
      <w:r>
        <w:rPr>
          <w:sz w:val="19"/>
        </w:rPr>
        <w:t>Hong Kong-Kontext, aber Befunde zu Pandemie-Ermüdung und Vertrauensverlust auf Deutschland übertragbar</w:t>
      </w:r>
    </w:p>
    <w:p>
      <w:r>
        <w:rPr>
          <w:color w:val="5A7D3A"/>
          <w:sz w:val="18"/>
        </w:rPr>
        <w:t>https://pubmed.ncbi.nlm.nih.gov/42910459/</w:t>
      </w:r>
    </w:p>
    <w:p>
      <w:pPr>
        <w:pStyle w:val="Heading2"/>
      </w:pPr>
      <w:r>
        <w:t>Impfeffektivität gegen COVID-19: Schnelltests verzerren die Ergebnisse je nach Impfstatus</w:t>
      </w:r>
    </w:p>
    <w:p>
      <w:r>
        <w:rPr>
          <w:i/>
          <w:color w:val="666666"/>
          <w:sz w:val="18"/>
        </w:rPr>
        <w:t>Wiegand RE et al.  ·  Int J Epidemiol  ·  14.10.2026  ·  PMID 42909463</w:t>
      </w:r>
    </w:p>
    <w:p>
      <w:r>
        <w:t>Individuell-level Simulationen mit US-Surveillance-Daten zu Verzerrungsrisiken in Test-Negativ-Studien (TND) zur Impfeffektivität durch unterschiedliche RDT-Nutzung zwischen Geimpften und Ungeimpften.</w:t>
      </w:r>
    </w:p>
    <w:p>
      <w:r>
        <w:rPr>
          <w:b/>
        </w:rPr>
        <w:t xml:space="preserve">Ergebnis: </w:t>
      </w:r>
      <w:r>
        <w:t>Impfeffektivität unterschätzt (−5,8 bis −6,1 Prozentpunkte), wenn Geimpfte häufiger nach positivem RDT oder Ungeimpfte häufiger nach negativem RDT Gesundheitseinrichtungen aufsuchen; überschätzt (+5,2 bis +8,4 Prozentpunkte) bei umgekehrtem Muster. Verzerrung abhängig von Wahrscheinlichkeiten: Geimpfte Klinik-Besuch nach positiv RDT 0,5 vs. Ungeimpfte 0,3 → Bias −5,8 pp (95 % UI −9,1 bis −2,4).</w:t>
      </w:r>
    </w:p>
    <w:p>
      <w:r>
        <w:rPr>
          <w:b/>
          <w:sz w:val="19"/>
        </w:rPr>
        <w:t xml:space="preserve">Übertragbarkeit: </w:t>
      </w:r>
      <w:r>
        <w:rPr>
          <w:sz w:val="19"/>
        </w:rPr>
        <w:t>USA-Datenbasis, aber methodische Verzerrungsanalyse zu TND-Studien auf deutsche COVID-Impfeffektivitätsbewertung übertragbar</w:t>
      </w:r>
    </w:p>
    <w:p>
      <w:r>
        <w:rPr>
          <w:color w:val="5A7D3A"/>
          <w:sz w:val="18"/>
        </w:rPr>
        <w:t>https://pubmed.ncbi.nlm.nih.gov/42909463/</w:t>
      </w:r>
    </w:p>
    <w:p>
      <w:pPr>
        <w:pStyle w:val="Heading2"/>
      </w:pPr>
      <w:r>
        <w:t>HPV-Impfung an chinesischen Unis: Wissen schlecht, Bereitschaft mittel, Uptake schwach</w:t>
      </w:r>
    </w:p>
    <w:p>
      <w:r>
        <w:rPr>
          <w:i/>
          <w:color w:val="666666"/>
          <w:sz w:val="18"/>
        </w:rPr>
        <w:t>Zhu M et al.  ·  Front Public Health  ·  07.10.2026  ·  PMID 42909026</w:t>
      </w:r>
    </w:p>
    <w:p>
      <w:r>
        <w:t>Querschnittstudie (959 Studierende, Shandong) zur HPV-Impfakzeptanz mittels Knowledge-Attitude-Practice-Framework mit Strukturgleichungsmodellierung.</w:t>
      </w:r>
    </w:p>
    <w:p>
      <w:r>
        <w:rPr>
          <w:b/>
        </w:rPr>
        <w:t xml:space="preserve">Ergebnis: </w:t>
      </w:r>
      <w:r>
        <w:t>Durchschnittliches Wissensscore 54,8 % (schwach), Einstellung 74,8 % (moderat), Praxis 67,1 % (moderat). Wissen direkt mit Einstellung (β=0,119, p=0,012) und Praxis assoziiert (β=0,461, p=0,014); Einstellung auch indirekt relevant (β=0,014 indirekt, p=0,003). Männeranteil 58 %, HPV-bezogene Wissenslücken erheblich, Zugang zu Untersuchung und Impfung beschränkt.</w:t>
      </w:r>
    </w:p>
    <w:p>
      <w:r>
        <w:rPr>
          <w:b/>
          <w:sz w:val="19"/>
        </w:rPr>
        <w:t xml:space="preserve">Übertragbarkeit: </w:t>
      </w:r>
      <w:r>
        <w:rPr>
          <w:sz w:val="19"/>
        </w:rPr>
        <w:t>China, aber KAP-Struktur und Geschlechtseffekte auf deutsche Männer-Impfquoten anwendbar</w:t>
      </w:r>
    </w:p>
    <w:p>
      <w:r>
        <w:rPr>
          <w:color w:val="5A7D3A"/>
          <w:sz w:val="18"/>
        </w:rPr>
        <w:t>https://pubmed.ncbi.nlm.nih.gov/42909026/</w:t>
      </w:r>
    </w:p>
    <w:p>
      <w:pPr>
        <w:pStyle w:val="Heading2"/>
      </w:pPr>
      <w:r>
        <w:t>24-valente Pneumokokken-Konjugatimpfung: sichere Immunantwort in Phase-1/2-Studien</w:t>
      </w:r>
    </w:p>
    <w:p>
      <w:r>
        <w:rPr>
          <w:i/>
          <w:color w:val="666666"/>
          <w:sz w:val="18"/>
        </w:rPr>
        <w:t>Wang K et al.  ·  Expert Rev Vaccines  ·  22.10.2026  ·  PMID 42908339</w:t>
      </w:r>
    </w:p>
    <w:p>
      <w:r>
        <w:t>Zwei RCTs (Phase 1: n=240, Phase 2: n=992, chinesische Erwachsene) zur Sicherheit und Immunogenität von PCV24 vs. PPSV23 und Placebo.</w:t>
      </w:r>
    </w:p>
    <w:p>
      <w:r>
        <w:rPr>
          <w:b/>
        </w:rPr>
        <w:t xml:space="preserve">Ergebnis: </w:t>
      </w:r>
      <w:r>
        <w:t>Post-Impf-Nebenwirkungen überwiegend Grad 1–2, seltene Grad-3-Ereignisse nur Tag 0–7; keine impfbedingten schwerwiegenden Nebenwirkungen über 6 Monate. PCV24-Hochdosis erreichte Nicht-Unterlegenheit für IgG-Serokonversion aller 24 Serotpyen vs. PPSV23. Verträglichkeitsprofil günstig, robuste Immunantwort dokumentiert.</w:t>
      </w:r>
    </w:p>
    <w:p>
      <w:r>
        <w:rPr>
          <w:b/>
          <w:sz w:val="19"/>
        </w:rPr>
        <w:t xml:space="preserve">Übertragbarkeit: </w:t>
      </w:r>
      <w:r>
        <w:rPr>
          <w:sz w:val="19"/>
        </w:rPr>
        <w:t>China, Sicherheitsdaten aber zu Pneumokokkenimpfung kohärent mit europäischem Sicherheitsreglement; Nutzbar für Risikoabwägung</w:t>
      </w:r>
    </w:p>
    <w:p>
      <w:r>
        <w:rPr>
          <w:color w:val="5A7D3A"/>
          <w:sz w:val="18"/>
        </w:rPr>
        <w:t>https://pubmed.ncbi.nlm.nih.gov/42908339/</w:t>
      </w:r>
    </w:p>
    <w:p>
      <w:pPr>
        <w:pStyle w:val="Heading2"/>
      </w:pPr>
      <w:r>
        <w:t>Tollwutimpfung bei Hunden: Strukturen schlagen Wissen, Einstellung und Appelle</w:t>
      </w:r>
    </w:p>
    <w:p>
      <w:r>
        <w:rPr>
          <w:i/>
          <w:color w:val="666666"/>
          <w:sz w:val="18"/>
        </w:rPr>
        <w:t>Sun K et al.  ·  Transbound Emerg Dis  ·  2026  ·  PMID 42905874</w:t>
      </w:r>
    </w:p>
    <w:p>
      <w:r>
        <w:t>Mehrebenen-Querschnittsstudie (2.148 ländliche Bewohner, 282 Hundehalter, China) zu Determinanten der Hundertollwut-Impfung mittels multilevel mixed effects und SEM.</w:t>
      </w:r>
    </w:p>
    <w:p>
      <w:r>
        <w:rPr>
          <w:b/>
        </w:rPr>
        <w:t xml:space="preserve">Ergebnis: </w:t>
      </w:r>
      <w:r>
        <w:t>Wissensquote 68,0 %, positive Einstellung 88,1 %, aber nur 26,5 % aktive Praxis bei Menschen; Hundimpfquote 36,2 %. Einstellung mediierte Wissenseffekt (91,0 % des indirekten Pfads). Strukturelle Faktoren dominierten jedoch: erworbene Hunde 3,4× höhere Impfquote als Eigenaufzucht (OR 3,38), angebundene Hunde 3,8× höher als frei laufende (OR 3,77). Wissen/Einstellung unzureichend ohne Managementreformen.</w:t>
      </w:r>
    </w:p>
    <w:p>
      <w:r>
        <w:rPr>
          <w:b/>
          <w:sz w:val="19"/>
        </w:rPr>
        <w:t xml:space="preserve">Übertragbarkeit: </w:t>
      </w:r>
      <w:r>
        <w:rPr>
          <w:sz w:val="19"/>
        </w:rPr>
        <w:t>China ländlich, aber Befund zu Strukturbarrieren über KAP hinaus auf deutsche Tierimpfprogramme und deren Umsetzungshindernisse übertragbar</w:t>
      </w:r>
    </w:p>
    <w:p>
      <w:r>
        <w:rPr>
          <w:color w:val="5A7D3A"/>
          <w:sz w:val="18"/>
        </w:rPr>
        <w:t>https://pubmed.ncbi.nlm.nih.gov/42905874/</w:t>
      </w:r>
    </w:p>
    <w:p>
      <w:pPr>
        <w:pStyle w:val="Heading2"/>
      </w:pPr>
      <w:r>
        <w:t>Strategien gegen Impfskepsis: Was Systemreformen leisten</w:t>
      </w:r>
    </w:p>
    <w:p>
      <w:r>
        <w:rPr>
          <w:i/>
          <w:color w:val="666666"/>
          <w:sz w:val="18"/>
        </w:rPr>
        <w:t>Marques APDC et al.  ·  Epidemiol Serv Saude  ·  12.10.2026  ·  PMID 42903010</w:t>
      </w:r>
    </w:p>
    <w:p>
      <w:r>
        <w:t>Systematische Übersicht von 48 Systematic Reviews zu Maßnahmen gegen Impfhesitanz in Brasilien (urban, Erwachsene ab 18 Jahren, Schwangere).</w:t>
      </w:r>
    </w:p>
    <w:p>
      <w:r>
        <w:rPr>
          <w:b/>
        </w:rPr>
        <w:t xml:space="preserve">Ergebnis: </w:t>
      </w:r>
      <w:r>
        <w:t>Wirksame Strategien erfordern Kombination von fünf Handlungsfeldern: (1) zielgruppenbezogene Kommunikationsverstärkung, (2) permanente Fortbildung für Gesundheitsfachpersonen, (3) Zugangsverbesserung (Infrastruktur und Verfügbarkeit), (4) Desinformationsbekämpfung, (5) integrierte Schwangerschafts-Impfstrategien. Einzelmaßnahmen unzureichend; systemische Koordination erforderlich.</w:t>
      </w:r>
    </w:p>
    <w:p>
      <w:r>
        <w:rPr>
          <w:b/>
          <w:sz w:val="19"/>
        </w:rPr>
        <w:t xml:space="preserve">Übertragbarkeit: </w:t>
      </w:r>
      <w:r>
        <w:rPr>
          <w:sz w:val="19"/>
        </w:rPr>
        <w:t>Brasilien, aber Befunde zu kombinierter Systemstrategie relevant für deutsches Impfprogramm-Design</w:t>
      </w:r>
    </w:p>
    <w:p>
      <w:r>
        <w:rPr>
          <w:color w:val="5A7D3A"/>
          <w:sz w:val="18"/>
        </w:rPr>
        <w:t>https://pubmed.ncbi.nlm.nih.gov/42903010/</w:t>
      </w:r>
    </w:p>
    <w:p>
      <w:pPr>
        <w:pStyle w:val="Heading1"/>
      </w:pPr>
      <w:r>
        <w:t>Aufgenommen am 23.10.2026</w:t>
      </w:r>
    </w:p>
    <w:p>
      <w:pPr>
        <w:pStyle w:val="Heading2"/>
      </w:pPr>
      <w:r>
        <w:t>Ärztliche Impf-Verordnung hebt Impfquoten bei älteren Erwachsenen deutlich</w:t>
      </w:r>
    </w:p>
    <w:p>
      <w:r>
        <w:rPr>
          <w:i/>
          <w:color w:val="666666"/>
          <w:sz w:val="18"/>
        </w:rPr>
        <w:t>Yan XT et al.  ·  Zhonghua Liu Xing Bing Xue Za Zhi  ·  10.10.2026  ·  PMID 42907186</w:t>
      </w:r>
    </w:p>
    <w:p>
      <w:r>
        <w:t>Vorher-nachher-Querschnittsstudie an 10.500 Patienten in Zhejiang, China (März–April 2024 und September–Oktober 2025), mit multistufiger Stichprobenziehung über 175 Standorte, zur Evaluation eines Impf-Verordnungs-Programms für Influenza, Pneumokokken und Zoster.</w:t>
      </w:r>
    </w:p>
    <w:p>
      <w:r>
        <w:rPr>
          <w:b/>
        </w:rPr>
        <w:t xml:space="preserve">Ergebnis: </w:t>
      </w:r>
      <w:r>
        <w:t>Impfquoten stiegen für Influenza von 45,16 % auf 65,72 %, Pneumokokken von 16,42 % auf 22,74 %, Zoster von 1,93 % auf 5,74 % (alle p &lt; 0,001). Bei Patienten mit Impf-Verordnung: Influenza 79,69 %, Pneumokokken 33,31 %, Zoster 11,13 % – alle signifikant höher als ohne Verordnung. Multivariate Analyse (adjustiert für Demografie und Standortcluster): Influenza aOR = 3,16 (95 %-KI 2,68–3,72), Pneumokokken aOR = 1,56 (1,30–1,87), Zoster aOR = 3,05 (2,18–4,26). Ärztliche Empfehlung als Hauptförderfaktor.</w:t>
      </w:r>
    </w:p>
    <w:p>
      <w:r>
        <w:rPr>
          <w:b/>
          <w:sz w:val="19"/>
        </w:rPr>
        <w:t xml:space="preserve">Übertragbarkeit: </w:t>
      </w:r>
      <w:r>
        <w:rPr>
          <w:sz w:val="19"/>
        </w:rPr>
        <w:t>China, strukturell vergleichbar mit aufsuchenden Programmen; Versorgungspraxis</w:t>
      </w:r>
    </w:p>
    <w:p>
      <w:r>
        <w:rPr>
          <w:color w:val="5A7D3A"/>
          <w:sz w:val="18"/>
        </w:rPr>
        <w:t>https://pubmed.ncbi.nlm.nih.gov/42907186/</w:t>
      </w:r>
    </w:p>
    <w:p>
      <w:pPr>
        <w:pStyle w:val="Heading2"/>
      </w:pPr>
      <w:r>
        <w:t>Verhaltensinterventionen mit Community-Beteiligung erhöhen Impfakzeptanz in fragilen Kontexten</w:t>
      </w:r>
    </w:p>
    <w:p>
      <w:r>
        <w:rPr>
          <w:i/>
          <w:color w:val="666666"/>
          <w:sz w:val="18"/>
        </w:rPr>
        <w:t>Malik FA et al.  ·  Behav Med  ·  21.10.2026  ·  PMID 42904418</w:t>
      </w:r>
    </w:p>
    <w:p>
      <w:r>
        <w:t>Qualitative Prozessevaluationen an vier Gesundheitszentren im Tschad (2022–2023) mit 48 Interviews und Feldbeobachtungen zu Integration einer Paket-Intervention (Impfbotschaften, Champions, Erinnerungsaktivitäten) ins Routine-Impfsystem, geleitet von WHO-BeSD-Rahmen und IA2030.</w:t>
      </w:r>
    </w:p>
    <w:p>
      <w:r>
        <w:rPr>
          <w:b/>
        </w:rPr>
        <w:t xml:space="preserve">Ergebnis: </w:t>
      </w:r>
      <w:r>
        <w:t>Kernfindungen: Partizipative Co-Kreation und aktive Impf-Champions waren zentral für Akzeptanz und Teilnahme. Intervention wurde trotz früher Unterbrechung in Routinepraxen integriert. Akteure beschrieben gestiegenes Community-Vertrauen und erhöhtes Engagement für Impfung, insbesondere in Zero-Dose- und Unter-Immunisierten-Gruppen. Mechanismen für lokale Eigenverantwortung und kontextresponsive Lieferung identifiziert.</w:t>
      </w:r>
    </w:p>
    <w:p>
      <w:r>
        <w:rPr>
          <w:b/>
          <w:sz w:val="19"/>
        </w:rPr>
        <w:t xml:space="preserve">Übertragbarkeit: </w:t>
      </w:r>
      <w:r>
        <w:rPr>
          <w:sz w:val="19"/>
        </w:rPr>
        <w:t>Tschad (fragiler Kontext), übertragbar auf Engagement-Strategien in heterogenen Populationen</w:t>
      </w:r>
    </w:p>
    <w:p>
      <w:r>
        <w:rPr>
          <w:color w:val="5A7D3A"/>
          <w:sz w:val="18"/>
        </w:rPr>
        <w:t>https://pubmed.ncbi.nlm.nih.gov/42904418/</w:t>
      </w:r>
    </w:p>
    <w:p>
      <w:pPr>
        <w:pStyle w:val="Heading2"/>
      </w:pPr>
      <w:r>
        <w:t>Verhaltensprogramm für Zahnpraxen könnte HPV-Impfquoten erhöhen</w:t>
      </w:r>
    </w:p>
    <w:p>
      <w:r>
        <w:rPr>
          <w:i/>
          <w:color w:val="666666"/>
          <w:sz w:val="18"/>
        </w:rPr>
        <w:t>Mabry PL et al.  ·  Behav Med  ·  21.10.2026  ·  PMID 42904413</w:t>
      </w:r>
    </w:p>
    <w:p>
      <w:r>
        <w:t>Entwicklungsstudie einer theoriegestützten Verhaltensintervention für Zahnärzte zur Promotion der HPV-Impfung, geleitet durch Behavior Change Wheel und COM-B-Modell, mit Rapid-Review, Interviews mit Zahnpraktikern und Umfragen bei Eltern und geeigneten Patienten (2024–2026).</w:t>
      </w:r>
    </w:p>
    <w:p>
      <w:r>
        <w:rPr>
          <w:b/>
        </w:rPr>
        <w:t xml:space="preserve">Ergebnis: </w:t>
      </w:r>
      <w:r>
        <w:t>Zentrale Barrieren identifiziert: mangelndes Wissen zu HPV/HPV-Impfstoff, niedrige Selbstwirksamkeit, Befürchtungen vor negativen Konsequenzen. Finale Intervention: Didaktische Schulung, Skripte, tailorierte Botschaften in klinischem Entscheidungshilfe-Tool und Leistungs-Feedback. Pilottests: Zeiteffizient, akzeptabel für Praktiker und Patienten/Eltern. Keine Förderung für Effektivitätsstudie – Autoren suchten Unterstützung.</w:t>
      </w:r>
    </w:p>
    <w:p>
      <w:r>
        <w:rPr>
          <w:b/>
          <w:sz w:val="19"/>
        </w:rPr>
        <w:t xml:space="preserve">Übertragbarkeit: </w:t>
      </w:r>
      <w:r>
        <w:rPr>
          <w:sz w:val="19"/>
        </w:rPr>
        <w:t>USA; Studiendesign übertragbar auf Setting-basierte Impfpromotion</w:t>
      </w:r>
    </w:p>
    <w:p>
      <w:r>
        <w:rPr>
          <w:color w:val="5A7D3A"/>
          <w:sz w:val="18"/>
        </w:rPr>
        <w:t>https://pubmed.ncbi.nlm.nih.gov/42904413/</w:t>
      </w:r>
    </w:p>
    <w:p>
      <w:pPr>
        <w:pStyle w:val="Heading2"/>
      </w:pPr>
      <w:r>
        <w:t>COVID-19- und Influenza-Impfbereitschaft folgen teilweise unterschiedlichen Mustern</w:t>
      </w:r>
    </w:p>
    <w:p>
      <w:r>
        <w:rPr>
          <w:i/>
          <w:color w:val="666666"/>
          <w:sz w:val="18"/>
        </w:rPr>
        <w:t>Duplaga M et al.  ·  Front Public Health  ·  06.10.2026  ·  PMID 42903207</w:t>
      </w:r>
    </w:p>
    <w:p>
      <w:r>
        <w:t>Querschnittsbefragung von 3.000 polnischen Erwachsenen (Mai 2026) mit COM-B-Modell zu Impfabsichten für COVID-19 und Influenza sowie Vaccine-Hesitancy-Skala, Gesundheitskompetenz und Verschwörungsmentalität.</w:t>
      </w:r>
    </w:p>
    <w:p>
      <w:r>
        <w:rPr>
          <w:b/>
        </w:rPr>
        <w:t xml:space="preserve">Ergebnis: </w:t>
      </w:r>
      <w:r>
        <w:t>Impfabsicht: 18,2 % für COVID-19, 31,5 % für Influenza. Fähigkeit (Capability) assoziiert mit beiden Absichten (COVID-19 OR = 1,31; Influenza OR = 1,74). Motivation erhöhte beide (COVID-19 OR = 2,64; Influenza OR = 1,56). Impfskepsis trug zusätzlich erklärende Kraft bei. Politische Präferenz zeigte Impfstoff-spezifisches Muster: Anhänger der Rechtspartei hatten niedrigere COVID-19-Absicht (OR = 0,50), aber keine Assoziation für Influenza. Modellgüte (Nagelkerke R² 0,387–0,392).</w:t>
      </w:r>
    </w:p>
    <w:p>
      <w:r>
        <w:rPr>
          <w:b/>
          <w:sz w:val="19"/>
        </w:rPr>
        <w:t xml:space="preserve">Übertragbarkeit: </w:t>
      </w:r>
      <w:r>
        <w:rPr>
          <w:sz w:val="19"/>
        </w:rPr>
        <w:t>Polen, vergleichbare Sozialversicherung; COVID-19-Ergebnis überlastet Portfolio aber</w:t>
      </w:r>
    </w:p>
    <w:p>
      <w:r>
        <w:rPr>
          <w:color w:val="5A7D3A"/>
          <w:sz w:val="18"/>
        </w:rPr>
        <w:t>https://pubmed.ncbi.nlm.nih.gov/42903207/</w:t>
      </w:r>
    </w:p>
    <w:p>
      <w:pPr>
        <w:pStyle w:val="Heading2"/>
      </w:pPr>
      <w:r>
        <w:t>Influenza-Impfantwort unterschied sich zwischen ethnischen Gruppen in England</w:t>
      </w:r>
    </w:p>
    <w:p>
      <w:r>
        <w:rPr>
          <w:i/>
          <w:color w:val="666666"/>
          <w:sz w:val="18"/>
        </w:rPr>
        <w:t>Nazareth J et al.  ·  J Infect  ·  29.09.2026  ·  PMID 42810690</w:t>
      </w:r>
    </w:p>
    <w:p>
      <w:r>
        <w:t>Prospektive Kohorte von 815 Gesundheitsfachpersonen in Großbritannien (2020–2022) mit Bestimmung von Hämagglutinin-Hemmtiteln nach Influenza-Impfung.</w:t>
      </w:r>
    </w:p>
    <w:p>
      <w:r>
        <w:rPr>
          <w:b/>
        </w:rPr>
        <w:t xml:space="preserve">Ergebnis: </w:t>
      </w:r>
      <w:r>
        <w:t>Im ersten Jahr zeigten sich keine signifikanten ethnischen Unterschiede. Im zweiten Jahr hatten südasiatische Teilnehmer einen stärkeren Anstieg der A/H1N1-Antikörper während der Booster-Phase (geometrisches Mittel-Ratio 1,77; 95 %-KI 1,26–2,48; p = 0,001). Eine vorherige Influenza-Impfung erklärte die beobachteten Unterschiede teilweise. Die Befunde deuten auf unterschiedliche Immunantworten hin, möglicherweise bedingt durch unterschiedliche Vorimmunsierung.</w:t>
      </w:r>
    </w:p>
    <w:p>
      <w:r>
        <w:rPr>
          <w:b/>
          <w:sz w:val="19"/>
        </w:rPr>
        <w:t xml:space="preserve">Übertragbarkeit: </w:t>
      </w:r>
      <w:r>
        <w:rPr>
          <w:sz w:val="19"/>
        </w:rPr>
        <w:t>UK-Klinikdaten, vergleichbare Dokumentationspflichten und Impfkalendar</w:t>
      </w:r>
    </w:p>
    <w:p>
      <w:r>
        <w:rPr>
          <w:color w:val="5A7D3A"/>
          <w:sz w:val="18"/>
        </w:rPr>
        <w:t>https://pubmed.ncbi.nlm.nih.gov/42810690/</w:t>
      </w:r>
    </w:p>
    <w:p>
      <w:pPr>
        <w:pStyle w:val="Heading2"/>
      </w:pPr>
      <w:r>
        <w:t>Mütterliche Keuchhusten-Impfung schützt Neugeborene auch nach COVID-19</w:t>
      </w:r>
    </w:p>
    <w:p>
      <w:r>
        <w:rPr>
          <w:i/>
          <w:color w:val="666666"/>
          <w:sz w:val="18"/>
        </w:rPr>
        <w:t>Walker JL et al.  ·  J Infect  ·  31.08.2026  ·  PMID 42674297</w:t>
      </w:r>
    </w:p>
    <w:p>
      <w:r>
        <w:t>Fallkontrollstudie mit 188 laborbestätigten Pertussis-Fällen bei unter 3 Monate alten Säuglingen (Januar 2020–März 2024) und Deckungsdaten von 453.740 Schwangerschaften in Großbritannien.</w:t>
      </w:r>
    </w:p>
    <w:p>
      <w:r>
        <w:rPr>
          <w:b/>
        </w:rPr>
        <w:t xml:space="preserve">Ergebnis: </w:t>
      </w:r>
      <w:r>
        <w:t>Impfeffektivität gegen laborbestätigte Pertussis 84,6 % (95 %-KI 76,9–89,7 %), gegen Hospitalisierung 88,2 % (95 %-KI 81–92,7 %), gegen Tod 91,5 % (95 %-KI 75,4–97,1 %). Hohe Wirksamkeit über alle Gestationsalter-Kategorien hinweg; kein statistisch signifikanter Unterschied. Das Programm hat seine hohe Schutzwirkung beibehalten und war nicht Ursache des post-pandemischen Pertussis-Anstiegs.</w:t>
      </w:r>
    </w:p>
    <w:p>
      <w:r>
        <w:rPr>
          <w:b/>
          <w:sz w:val="19"/>
        </w:rPr>
        <w:t xml:space="preserve">Übertragbarkeit: </w:t>
      </w:r>
      <w:r>
        <w:rPr>
          <w:sz w:val="19"/>
        </w:rPr>
        <w:t>England-Daten, vergleichbare Mutterschaftshilfe und Impfregister</w:t>
      </w:r>
    </w:p>
    <w:p>
      <w:r>
        <w:rPr>
          <w:color w:val="5A7D3A"/>
          <w:sz w:val="18"/>
        </w:rPr>
        <w:t>https://pubmed.ncbi.nlm.nih.gov/42674297/</w:t>
      </w:r>
    </w:p>
    <w:p>
      <w:pPr>
        <w:pStyle w:val="Heading1"/>
      </w:pPr>
      <w:r>
        <w:t>Aufgenommen am 22.10.2026</w:t>
      </w:r>
    </w:p>
    <w:p>
      <w:pPr>
        <w:pStyle w:val="Heading2"/>
      </w:pPr>
      <w:r>
        <w:t>COVID-19-Impfquote bei schwangeren und stillenden Frauen in Uganda deutlich unter Erwartung</w:t>
      </w:r>
    </w:p>
    <w:p>
      <w:r>
        <w:rPr>
          <w:i/>
          <w:color w:val="666666"/>
          <w:sz w:val="18"/>
        </w:rPr>
        <w:t>Katana EB et al.  ·  BMC Pregnancy Childbirth  ·  25.07.2026  ·  PMID 42902272</w:t>
      </w:r>
    </w:p>
    <w:p>
      <w:r>
        <w:t>Querschnittsstudie an 424 schwangeren und stillenden Frauen in Uganda zur Akzeptanz und Inanspruchnahme von COVID-19-Impfungen im Vergleich zu anderen Mütterimpfungen.</w:t>
      </w:r>
    </w:p>
    <w:p>
      <w:r>
        <w:rPr>
          <w:b/>
        </w:rPr>
        <w:t xml:space="preserve">Ergebnis: </w:t>
      </w:r>
      <w:r>
        <w:t>51,6% hatten mind. eine COVID-19-Impfdosis erhalten, 94,1% waren gegen Tetanus geimpft; 48,4% waren bereit, COVID-19-Impfungen zu erhalten. Nur 2,4% waren während Stillzeit geimpft worden, keine während Schwangerschaft. Schutzfaktoren: COVID-19-Test in der Vorgeschichte (aRR=1,92, 95%-KI 1,46–2,54) und geimpftes Haushaltsmitglied (aRR=1,34, 95%-KI 1,03–1,84).</w:t>
      </w:r>
    </w:p>
    <w:p>
      <w:r>
        <w:rPr>
          <w:b/>
          <w:sz w:val="19"/>
        </w:rPr>
        <w:t xml:space="preserve">Übertragbarkeit: </w:t>
      </w:r>
      <w:r>
        <w:rPr>
          <w:sz w:val="19"/>
        </w:rPr>
        <w:t>Uganda-Daten; transferierbar für Länder mit ähnlicher Gesundheitskommunikation und Ressourcenlage.</w:t>
      </w:r>
    </w:p>
    <w:p>
      <w:r>
        <w:rPr>
          <w:color w:val="5A7D3A"/>
          <w:sz w:val="18"/>
        </w:rPr>
        <w:t>https://pubmed.ncbi.nlm.nih.gov/42902272/</w:t>
      </w:r>
    </w:p>
    <w:p>
      <w:pPr>
        <w:pStyle w:val="Heading2"/>
      </w:pPr>
      <w:r>
        <w:t>Wie Desinformation in sozialen Medien Impfbereitschaft politisiert: Fallstudie Saskatchewan</w:t>
      </w:r>
    </w:p>
    <w:p>
      <w:r>
        <w:rPr>
          <w:i/>
          <w:color w:val="666666"/>
          <w:sz w:val="18"/>
        </w:rPr>
        <w:t>Dyck E et al.  ·  Can J Health Hist  ·  20.10.2026  ·  PMID 42900833</w:t>
      </w:r>
    </w:p>
    <w:p>
      <w:r>
        <w:t>Qualitative Analyse mit Interviews und Medienquellen zu Verschiebung der Impfakzeptanz in Saskatchewan während COVID-19: von Konsens für Impfung 2020 zu Anti-Impf-Bewegung 2021–2022.</w:t>
      </w:r>
    </w:p>
    <w:p>
      <w:r>
        <w:rPr>
          <w:b/>
        </w:rPr>
        <w:t xml:space="preserve">Ergebnis: </w:t>
      </w:r>
      <w:r>
        <w:t>Saskatchewan wandelte sich von Hochburg der Impfstoffproduktion zu Zentrum der Anti-Impf-Bewegung. Unmoderierte Diskurse in sozialen Medien überlagerten kollektive Reaktionen und politisierten Impfungen als pro-regierungspolitisch. Premierminister Scott Moe wechselte von pro-Impf- zu kritischer Haltung gegenüber Bundesimpfpolitik.</w:t>
      </w:r>
    </w:p>
    <w:p>
      <w:r>
        <w:rPr>
          <w:b/>
          <w:sz w:val="19"/>
        </w:rPr>
        <w:t xml:space="preserve">Übertragbarkeit: </w:t>
      </w:r>
      <w:r>
        <w:rPr>
          <w:sz w:val="19"/>
        </w:rPr>
        <w:t>Kanada, vergleichbare föderale Struktur und Medienlandschaft; Mechanismen der Vaccine Hesitancy übertragbar auf DACH-Region.</w:t>
      </w:r>
    </w:p>
    <w:p>
      <w:r>
        <w:rPr>
          <w:color w:val="5A7D3A"/>
          <w:sz w:val="18"/>
        </w:rPr>
        <w:t>https://pubmed.ncbi.nlm.nih.gov/42900833/</w:t>
      </w:r>
    </w:p>
    <w:p>
      <w:pPr>
        <w:pStyle w:val="Heading2"/>
      </w:pPr>
      <w:r>
        <w:t>RSV-Impfung in der Schwangerschaft: Evidenz zur Wirksamkeit und Sicherheit der Prefusion-F-Vakzine</w:t>
      </w:r>
    </w:p>
    <w:p>
      <w:r>
        <w:rPr>
          <w:i/>
          <w:color w:val="666666"/>
          <w:sz w:val="18"/>
        </w:rPr>
        <w:t>Xiao MR et al.  ·  Zhonghua Yu Fang Yi Xue Za Zhi  ·  06.10.2026  ·  PMID 42893914</w:t>
      </w:r>
    </w:p>
    <w:p>
      <w:r>
        <w:t>Narrative Übersichtsarbeit zu RSV-Impfung schwangerer Frauen: Entwicklung, klinische Wirksamkeit, Sicherheit und Strategieempfehlungen von WHO und EMA.</w:t>
      </w:r>
    </w:p>
    <w:p>
      <w:r>
        <w:rPr>
          <w:b/>
        </w:rPr>
        <w:t xml:space="preserve">Ergebnis: </w:t>
      </w:r>
      <w:r>
        <w:t>RSVpreF-Impfstoff zeigt wirksame Übertragung maternaler Antikörper auf Neugeborene und verhindert RSV-Erkrankungen in frühem Säuglingsalter. Sicherheitsdaten positiv, aber langfristige Überwachung erforderlich. Mehrheitlich WHO und EMA empfehlen Impfung schwangerer Frauen ab Trimester 2 oder 3.</w:t>
      </w:r>
    </w:p>
    <w:p>
      <w:r>
        <w:rPr>
          <w:b/>
          <w:sz w:val="19"/>
        </w:rPr>
        <w:t xml:space="preserve">Übertragbarkeit: </w:t>
      </w:r>
      <w:r>
        <w:rPr>
          <w:sz w:val="19"/>
        </w:rPr>
        <w:t>China-Review; Empfehlungen von EMA/WHO gelten für deutsche Versorgung, Transfer jedoch an Impfkalender und Datenverfügbarkeit gebunden.</w:t>
      </w:r>
    </w:p>
    <w:p>
      <w:r>
        <w:rPr>
          <w:color w:val="5A7D3A"/>
          <w:sz w:val="18"/>
        </w:rPr>
        <w:t>https://pubmed.ncbi.nlm.nih.gov/42893914/</w:t>
      </w:r>
    </w:p>
    <w:p>
      <w:pPr>
        <w:pStyle w:val="Heading2"/>
      </w:pPr>
      <w:r>
        <w:t>Melioidose in Asien: Unterschätzte Last und Bedarf für Impfstoffentwicklung</w:t>
      </w:r>
    </w:p>
    <w:p>
      <w:r>
        <w:rPr>
          <w:i/>
          <w:color w:val="666666"/>
          <w:sz w:val="18"/>
        </w:rPr>
        <w:t>Afnani MR et al.  ·  Trop Biomed  ·  01.09.2026  ·  PMID 42891935</w:t>
      </w:r>
    </w:p>
    <w:p>
      <w:r>
        <w:t>Narrative Übersichtsarbeit zu Epidemiologie, Risikofaktoren, Therapie und Impfstoffentwicklung der Melioidose in Asien mit Fokus auf Impfkandidaten und Versorgungslücken.</w:t>
      </w:r>
    </w:p>
    <w:p>
      <w:r>
        <w:rPr>
          <w:b/>
        </w:rPr>
        <w:t xml:space="preserve">Ergebnis: </w:t>
      </w:r>
      <w:r>
        <w:t>Südostasien endemisch, Südasien trägt großen Teil der globalen Last. Mehrere Impfkandidaten (live-attenuiert, rekombinant, Glykoknjugate, Vesikel, Nanopartikel) zeigen präklinische Schutzeffekte, aber kein zugelassener Impfstoff vorhanden. One-Health-Ansatz und Kapazitätsaufbau erforderlich.</w:t>
      </w:r>
    </w:p>
    <w:p>
      <w:r>
        <w:rPr>
          <w:b/>
          <w:sz w:val="19"/>
        </w:rPr>
        <w:t xml:space="preserve">Übertragbarkeit: </w:t>
      </w:r>
      <w:r>
        <w:rPr>
          <w:sz w:val="19"/>
        </w:rPr>
        <w:t>Narrative Übersicht; Impfkandidaten vorwiegend präklinisch, klinische Daten fehlen.</w:t>
      </w:r>
    </w:p>
    <w:p>
      <w:r>
        <w:rPr>
          <w:color w:val="5A7D3A"/>
          <w:sz w:val="18"/>
        </w:rPr>
        <w:t>https://pubmed.ncbi.nlm.nih.gov/42891935/</w:t>
      </w:r>
    </w:p>
    <w:p>
      <w:pPr>
        <w:pStyle w:val="Heading2"/>
      </w:pPr>
      <w:r>
        <w:t>Darm-Mikrobiom und Impfantwort: Ist personalisierte Impfung nach Mikrobiom-Profiling reif für die Praxis?</w:t>
      </w:r>
    </w:p>
    <w:p>
      <w:r>
        <w:rPr>
          <w:i/>
          <w:color w:val="666666"/>
          <w:sz w:val="18"/>
        </w:rPr>
        <w:t>Sun G et al.  ·  Front Immunol  ·  01.10.2026  ·  PMID 42889669</w:t>
      </w:r>
    </w:p>
    <w:p>
      <w:r>
        <w:t>Systematische Übersichtsarbeit zu Mechanismen, über die das Darm-Mikrobiom die Impfantwort moduliert, mit Fokus auf Short-Chain-Fatty-Acids und Kandidaten für Mikrobiom-gesteuerte Impfoptimierung.</w:t>
      </w:r>
    </w:p>
    <w:p>
      <w:r>
        <w:rPr>
          <w:b/>
        </w:rPr>
        <w:t xml:space="preserve">Ergebnis: </w:t>
      </w:r>
      <w:r>
        <w:t>Taxa replizieren selten über Geographien, Alter und Impfplattformen hinweg. Short-Chain-Fatty-Acids zeigen größte mechanistische Evidenz (vorwiegend präklinisch); Acetate, Propionat und Butyrat unterscheiden sich in Targets, Exposition und Effektrichtung. Probiotika-Studien bei älteren Erwachsenen neutral; BNT162b2 in Mikrobiota-verarmten Mäusen nicht sensitiv. Microbiome-gesteuerte Impfung bleibt Forschungsstrategie, keine etablierte klinische Praxis.</w:t>
      </w:r>
    </w:p>
    <w:p>
      <w:r>
        <w:rPr>
          <w:b/>
          <w:sz w:val="19"/>
        </w:rPr>
        <w:t xml:space="preserve">Übertragbarkeit: </w:t>
      </w:r>
      <w:r>
        <w:rPr>
          <w:sz w:val="19"/>
        </w:rPr>
        <w:t>Systematische Übersicht ohne neue empirische Daten; Befunde zu Mechanismen teilweise präklinisch, klinische Übertragbarkeit noch ungeklärt.</w:t>
      </w:r>
    </w:p>
    <w:p>
      <w:r>
        <w:rPr>
          <w:color w:val="5A7D3A"/>
          <w:sz w:val="18"/>
        </w:rPr>
        <w:t>https://pubmed.ncbi.nlm.nih.gov/42889669/</w:t>
      </w:r>
    </w:p>
    <w:p>
      <w:pPr>
        <w:pStyle w:val="Heading2"/>
      </w:pPr>
      <w:r>
        <w:t>Candida-Impfstoffe: Erste klinische Phase-II-Daten mit NDV-3A, aber Translationshürden bleiben</w:t>
      </w:r>
    </w:p>
    <w:p>
      <w:r>
        <w:rPr>
          <w:i/>
          <w:color w:val="666666"/>
          <w:sz w:val="18"/>
        </w:rPr>
        <w:t>Krier J et al.  ·  Int J Mol Sci  ·  23.09.2026  ·  PMID 42883739</w:t>
      </w:r>
    </w:p>
    <w:p>
      <w:r>
        <w:t>Strukturierte narrative Übersichtsarbeit zu Fortschritten und Barrieren in der Candida-Impfstoffentwicklung 2015–2025, mit Fokus auf NDV-3A und klinische sowie präklinische Evidenz.</w:t>
      </w:r>
    </w:p>
    <w:p>
      <w:r>
        <w:rPr>
          <w:b/>
        </w:rPr>
        <w:t xml:space="preserve">Ergebnis: </w:t>
      </w:r>
      <w:r>
        <w:t>NDV-3A erreichte Phase-II-Validierung—erste großangelegte klinische Studie eines Pilzimpfstoffs. Standardisierung A/J-Maus-Modell für C. auris; Computational-Plattformen mit &gt;94% HLA-Populationsabdeckung. Hindernisse: Kommensale-zu-Pathogen-Dualität, Immunsuppression, antigene Plastizität, Unterinvestition. Nächste Generation könnte Bench-zu-Klinik-Lücke schließen.</w:t>
      </w:r>
    </w:p>
    <w:p>
      <w:r>
        <w:rPr>
          <w:b/>
          <w:sz w:val="19"/>
        </w:rPr>
        <w:t xml:space="preserve">Übertragbarkeit: </w:t>
      </w:r>
      <w:r>
        <w:rPr>
          <w:sz w:val="19"/>
        </w:rPr>
        <w:t>Narrative Übersicht; NDV-3A Phase-II-Daten begrenzt, Translationsreife noch nicht erreicht.</w:t>
      </w:r>
    </w:p>
    <w:p>
      <w:r>
        <w:rPr>
          <w:color w:val="5A7D3A"/>
          <w:sz w:val="18"/>
        </w:rPr>
        <w:t>https://pubmed.ncbi.nlm.nih.gov/42883739/</w:t>
      </w:r>
    </w:p>
    <w:p>
      <w:pPr>
        <w:pStyle w:val="Heading1"/>
      </w:pPr>
      <w:r>
        <w:t>Aufgenommen am 21.10.2026</w:t>
      </w:r>
    </w:p>
    <w:p>
      <w:pPr>
        <w:pStyle w:val="Heading2"/>
      </w:pPr>
      <w:r>
        <w:t>Einführung der Einfachdosis-HPV-Impfung in Kanada</w:t>
      </w:r>
    </w:p>
    <w:p>
      <w:r>
        <w:rPr>
          <w:i/>
          <w:color w:val="666666"/>
          <w:sz w:val="18"/>
        </w:rPr>
        <w:t>Leggatt M et al.  ·  Hum Vaccin Immunother  ·  20.10.2026  ·  PMID 42899377</w:t>
      </w:r>
    </w:p>
    <w:p>
      <w:r>
        <w:t>Analyse von Implementierungshürden und -chancen beim Übergang zu Einfachdosis-HPV-Impfschema für Jugendliche in kanadischen Provinzen.</w:t>
      </w:r>
    </w:p>
    <w:p>
      <w:r>
        <w:rPr>
          <w:b/>
        </w:rPr>
        <w:t xml:space="preserve">Ergebnis: </w:t>
      </w:r>
      <w:r>
        <w:t>Schlüsselfaktoren für Erfolg: transparente Kommunikation zur Begründung der Schemaänderung, ausreichende Vorbereitung von Fachleuten und Impfpersonal, Elterninformation sowie robuste Catch-up-Programme und gezielte Aufsuchung für Risikogruppen. Ohne diese Maßnahmen droht Vertrauensverlust und ungleiche Impfquoten.</w:t>
      </w:r>
    </w:p>
    <w:p>
      <w:r>
        <w:rPr>
          <w:b/>
          <w:sz w:val="19"/>
        </w:rPr>
        <w:t xml:space="preserve">Übertragbarkeit: </w:t>
      </w:r>
      <w:r>
        <w:rPr>
          <w:sz w:val="19"/>
        </w:rPr>
        <w:t>Kanada, vergleichbares öffentliches Impfwesen; Schemaänderungen gelten europaweit.</w:t>
      </w:r>
    </w:p>
    <w:p>
      <w:r>
        <w:rPr>
          <w:color w:val="5A7D3A"/>
          <w:sz w:val="18"/>
        </w:rPr>
        <w:t>https://pubmed.ncbi.nlm.nih.gov/42899377/</w:t>
      </w:r>
    </w:p>
    <w:p>
      <w:pPr>
        <w:pStyle w:val="Heading2"/>
      </w:pPr>
      <w:r>
        <w:t>Politische Polarisierung senkt Impfquoten bei Kindern in US-Bundesstaaten</w:t>
      </w:r>
    </w:p>
    <w:p>
      <w:r>
        <w:rPr>
          <w:i/>
          <w:color w:val="666666"/>
          <w:sz w:val="18"/>
        </w:rPr>
        <w:t>Lin W et al.  ·  BMC Public Health  ·  23.07.2026  ·  PMID 42897547</w:t>
      </w:r>
    </w:p>
    <w:p>
      <w:r>
        <w:t>Querschnittsökologie mit Bundesstaaten-Paneldaten 2014–2024: Zusammenhang zwischen republikanischem Wählerstimmenanteil und Masernimpfquoten nach Kontrolle für Bildung und Einkommen.</w:t>
      </w:r>
    </w:p>
    <w:p>
      <w:r>
        <w:rPr>
          <w:b/>
        </w:rPr>
        <w:t xml:space="preserve">Ergebnis: </w:t>
      </w:r>
      <w:r>
        <w:t>Bundesstaaten mit höherem republikanischem Wahlanteil hatten niedrigere MMR-Quoten (−10,9%-Punkte pro 10%-Punkte Anstieg, 95%-KI −16,69 bis −5,10; p&lt;0,001). Persistenzanalyse mit Bundesstaaten konstanter Wahlausrichtung über vier Wahlen verstärkte den Befund (b=−14,30, p&lt;0,001). Effekt verstärkte sich zeitlich nicht; Bildungsschicht und Politik interagierten nicht.</w:t>
      </w:r>
    </w:p>
    <w:p>
      <w:r>
        <w:rPr>
          <w:b/>
          <w:sz w:val="19"/>
        </w:rPr>
        <w:t xml:space="preserve">Übertragbarkeit: </w:t>
      </w:r>
      <w:r>
        <w:rPr>
          <w:sz w:val="19"/>
        </w:rPr>
        <w:t>USA mit anderer Systemfinanzierung; Befund zur politischen Polarisierung als Impfquoten-Prediktor dennoch übertragbar.</w:t>
      </w:r>
    </w:p>
    <w:p>
      <w:r>
        <w:rPr>
          <w:color w:val="5A7D3A"/>
          <w:sz w:val="18"/>
        </w:rPr>
        <w:t>https://pubmed.ncbi.nlm.nih.gov/42897547/</w:t>
      </w:r>
    </w:p>
    <w:p>
      <w:pPr>
        <w:pStyle w:val="Heading2"/>
      </w:pPr>
      <w:r>
        <w:t>Absichts-Umsetzungs-Lücke bei HPV-Impfung in türkischer Frauenklinik</w:t>
      </w:r>
    </w:p>
    <w:p>
      <w:r>
        <w:rPr>
          <w:i/>
          <w:color w:val="666666"/>
          <w:sz w:val="18"/>
        </w:rPr>
        <w:t>Öncü E et al.  ·  BMC Public Health  ·  24.07.2026  ·  PMID 42897523</w:t>
      </w:r>
    </w:p>
    <w:p>
      <w:r>
        <w:t>Querschnittstudie an 305 Frauen (Mittel 38 Jahre) in einer Gynäkologieklinik Istanbul: Erfassung von HPV-Wissen, Einstellungen, Absicht zu impfen und tatsächliche Inanspruchnahme.</w:t>
      </w:r>
    </w:p>
    <w:p>
      <w:r>
        <w:rPr>
          <w:b/>
        </w:rPr>
        <w:t xml:space="preserve">Ergebnis: </w:t>
      </w:r>
      <w:r>
        <w:t>Wissens-Score 7,25±1,65 (0–10); 36,7% wussten nicht, dass Männer HPV-Träger sind; 86,6% erklärten Impfbereitschaft, aber nur 38,7% waren geimpft (Lücke: 47,9%-Punkte). Kostbarrier bei 71,0% der Ungeimpften; Fachleute für Gesundheit wiesen 2,01× höhere Quote (p=0,030). Bildung und Wissensstand waren nicht assoziiert mit tatsächlicher Inanspruchnahme.</w:t>
      </w:r>
    </w:p>
    <w:p>
      <w:r>
        <w:rPr>
          <w:b/>
          <w:sz w:val="19"/>
        </w:rPr>
        <w:t xml:space="preserve">Übertragbarkeit: </w:t>
      </w:r>
      <w:r>
        <w:rPr>
          <w:sz w:val="19"/>
        </w:rPr>
        <w:t>Türkei, mittlere Übertragbarkeit; Kernbefund (Absichts-Umset-zungs-Lücke durch Kostenbarriere) für Deutschland relevant.</w:t>
      </w:r>
    </w:p>
    <w:p>
      <w:r>
        <w:rPr>
          <w:color w:val="5A7D3A"/>
          <w:sz w:val="18"/>
        </w:rPr>
        <w:t>https://pubmed.ncbi.nlm.nih.gov/42897523/</w:t>
      </w:r>
    </w:p>
    <w:p>
      <w:pPr>
        <w:pStyle w:val="Heading2"/>
      </w:pPr>
      <w:r>
        <w:t>Multi-Omics zeigt plattformspezifische Immunsignaturen nach COVID-19-Impfung</w:t>
      </w:r>
    </w:p>
    <w:p>
      <w:r>
        <w:rPr>
          <w:i/>
          <w:color w:val="666666"/>
          <w:sz w:val="18"/>
        </w:rPr>
        <w:t>Klein AH et al.  ·  Front Immunol  ·  02.10.2026  ·  PMID 42890872</w:t>
      </w:r>
    </w:p>
    <w:p>
      <w:r>
        <w:t>Integrierte Plasma-Proteomic, Lipidomic und Metabolomic bei 53 SARS-CoV-2-naiven Erwachsenen nach Impfung mit Pfizer, Moderna oder AstraZeneca; Analyse über mehrere Zeitpunkte mit DIABLO-Integration.</w:t>
      </w:r>
    </w:p>
    <w:p>
      <w:r>
        <w:rPr>
          <w:b/>
        </w:rPr>
        <w:t xml:space="preserve">Ergebnis: </w:t>
      </w:r>
      <w:r>
        <w:t>Pfizer assoziiert mit breitem Anstieg Immunglobulin/Komplement-Proteine, Lipidabnahme und bidirektionalen Metabolit-Änderungen. Moderna: Lipidanstieg, minimale Proteomic-Änderungen. AstraZeneca: subtilere, aber kohärente cross-omics-Verschiebungen (nur bei integrativem Modellieren sichtbar). Pfizer und Moderna teilten Metabolit-Konkordanz (Aminosäuren, TCA-Zyklus) bei divergenten Lipidomics. Plattformspezifische Unterschiede zeigen: Multi-Omics-Integration ist aussagekräftiger als einzelne Analysen.</w:t>
      </w:r>
    </w:p>
    <w:p>
      <w:r>
        <w:rPr>
          <w:b/>
          <w:sz w:val="19"/>
        </w:rPr>
        <w:t xml:space="preserve">Übertragbarkeit: </w:t>
      </w:r>
      <w:r>
        <w:rPr>
          <w:sz w:val="19"/>
        </w:rPr>
        <w:t>Australien; Befund zur Plattformvergleichbarkeit für europäische Impfplanung relevant.</w:t>
      </w:r>
    </w:p>
    <w:p>
      <w:r>
        <w:rPr>
          <w:color w:val="5A7D3A"/>
          <w:sz w:val="18"/>
        </w:rPr>
        <w:t>https://pubmed.ncbi.nlm.nih.gov/42890872/</w:t>
      </w:r>
    </w:p>
    <w:p>
      <w:pPr>
        <w:pStyle w:val="Heading2"/>
      </w:pPr>
      <w:r>
        <w:t>Impfparadoxon Ebolavakzin: Erfolg schafft Erwartungen, die künftige Ausbrüche nicht erfüllen</w:t>
      </w:r>
    </w:p>
    <w:p>
      <w:r>
        <w:rPr>
          <w:i/>
          <w:color w:val="666666"/>
          <w:sz w:val="18"/>
        </w:rPr>
        <w:t>Ugwu OP et al.  ·  Front Public Health  ·  02.10.2026  ·  PMID 42890191</w:t>
      </w:r>
    </w:p>
    <w:p>
      <w:r>
        <w:t>Perspektive auf East African Public Health: Analyse, wie Erfolg mit Zaire-ebolavirus-Impfstoff zu Erwartungshaltung auf artspezifische Vakzine auch gegen Sudan- und Bundibugyo-Virus führte, was bei deren Fehlen zu Vertrauensverlust droht.</w:t>
      </w:r>
    </w:p>
    <w:p>
      <w:r>
        <w:rPr>
          <w:b/>
        </w:rPr>
        <w:t xml:space="preserve">Ergebnis: </w:t>
      </w:r>
      <w:r>
        <w:t>Zentral ist die Vaccine Expectation Gap zwischen verfügbaren (artspezifisch limitiert) und erwarteten Impfstoffen. Sudan- und Bundibugyo-Ausbrüche zeigen: Immunisierungserfolg verstärkt Erwartungen, schafft aber auch Risiko bei nicht-Erfüllbarkeit. Empfohlen: Transparent kommunizieren (Rationale für artspezifische Unterschiede), Preparedness Trust Contract etablieren, Community Engagement ausbauen.</w:t>
      </w:r>
    </w:p>
    <w:p>
      <w:r>
        <w:rPr>
          <w:b/>
          <w:sz w:val="19"/>
        </w:rPr>
        <w:t xml:space="preserve">Übertragbarkeit: </w:t>
      </w:r>
      <w:r>
        <w:rPr>
          <w:sz w:val="19"/>
        </w:rPr>
        <w:t>Uganda/East Africa; Framework zur Erwartungsmanagement bei Impf-Kampagnen auf Deutschland übertragbar.</w:t>
      </w:r>
    </w:p>
    <w:p>
      <w:r>
        <w:rPr>
          <w:color w:val="5A7D3A"/>
          <w:sz w:val="18"/>
        </w:rPr>
        <w:t>https://pubmed.ncbi.nlm.nih.gov/42890191/</w:t>
      </w:r>
    </w:p>
    <w:p>
      <w:pPr>
        <w:pStyle w:val="Heading2"/>
      </w:pPr>
      <w:r>
        <w:t>Fachgerechte Ressourcen gegen Vaccine Hesitancy für Angehörige von Gesundheitsberufen</w:t>
      </w:r>
    </w:p>
    <w:p>
      <w:r>
        <w:rPr>
          <w:i/>
          <w:color w:val="666666"/>
          <w:sz w:val="18"/>
        </w:rPr>
        <w:t>Ansell M et al.  ·  J Med Libr Assoc  ·  01.10.2026  ·  PMID 42889793</w:t>
      </w:r>
    </w:p>
    <w:p>
      <w:r>
        <w:t>Qualitative Studie: Interviews mit 20 Fachleuten aus Gesundheitsberufen in Florida zu Erfahrungen mit impfskeptischen Patienten, gefolgt von Ko-Design eines evidenzgestützten Ressourcen-Leitfadens.</w:t>
      </w:r>
    </w:p>
    <w:p>
      <w:r>
        <w:rPr>
          <w:b/>
        </w:rPr>
        <w:t xml:space="preserve">Ergebnis: </w:t>
      </w:r>
      <w:r>
        <w:t>Zentrale Themen aus Inhaltsanalyse: Vertrauen in Arzt-Patient-Beziehung, Notwendigkeit individualisierter Gespräche, Kampf gegen Desinformation. Fachleute wünschten vielfältige, leicht zugängliche Materialien zur Unterstützung. Ressourcen-Leitfaden entwickelt, lokal in Gesundheitsnetzwerken verteilt; Librarians als kritische Akteure für Public-Health-Kampagnen identifiziert.</w:t>
      </w:r>
    </w:p>
    <w:p>
      <w:r>
        <w:rPr>
          <w:b/>
          <w:sz w:val="19"/>
        </w:rPr>
        <w:t xml:space="preserve">Übertragbarkeit: </w:t>
      </w:r>
      <w:r>
        <w:rPr>
          <w:sz w:val="19"/>
        </w:rPr>
        <w:t>USA; Befund zu Vertrauensbau und Desinformationsgegenwehr für alle Systeme relevant.</w:t>
      </w:r>
    </w:p>
    <w:p>
      <w:r>
        <w:rPr>
          <w:color w:val="5A7D3A"/>
          <w:sz w:val="18"/>
        </w:rPr>
        <w:t>https://pubmed.ncbi.nlm.nih.gov/42889793/</w:t>
      </w:r>
    </w:p>
    <w:p>
      <w:pPr>
        <w:pStyle w:val="Heading2"/>
      </w:pPr>
      <w:r>
        <w:t>Influenza-Vakzin-Effizienz 2024–2025 und Barrieren bei Impfquoten</w:t>
      </w:r>
    </w:p>
    <w:p>
      <w:r>
        <w:rPr>
          <w:i/>
          <w:color w:val="666666"/>
          <w:sz w:val="18"/>
        </w:rPr>
        <w:t>Naik H  ·  FP Essent  ·  Okt. 2026  ·  PMID 42879808</w:t>
      </w:r>
    </w:p>
    <w:p>
      <w:r>
        <w:t>Übersicht zur Influenza-Epidemiologie USA 2024/2025 und Impfeffektivität, Risikogruppen, Impfstoffzugang, Barrieren gegen Immunisierung sowie Antivirale-Therapien.</w:t>
      </w:r>
    </w:p>
    <w:p>
      <w:r>
        <w:rPr>
          <w:b/>
        </w:rPr>
        <w:t xml:space="preserve">Ergebnis: </w:t>
      </w:r>
      <w:r>
        <w:t>2024–2025 schwerste Saison seit 2017/2018: 47–82 Mio. Fälle, bis zu 1,3 Mio. Hospitalisierungen, bis zu 130.000 Todesfälle USA. Impfeffektivität 2024–2025 32–78% je nach Alter/Endpunkt. Barrieren: Desinformation, begrenzte Zugänge, Misstrauen, Ungleichheit. Empfehlungen: Impfzugang verbessern, Desinformation bekämpfen, Community Outreach, Antivirale-Forschung voranbringen.</w:t>
      </w:r>
    </w:p>
    <w:p>
      <w:r>
        <w:rPr>
          <w:b/>
          <w:sz w:val="19"/>
        </w:rPr>
        <w:t xml:space="preserve">Übertragbarkeit: </w:t>
      </w:r>
      <w:r>
        <w:rPr>
          <w:sz w:val="19"/>
        </w:rPr>
        <w:t>USA; Barrieren und Quoten-Strategien für Deutschland adaptierbar.</w:t>
      </w:r>
    </w:p>
    <w:p>
      <w:r>
        <w:rPr>
          <w:color w:val="5A7D3A"/>
          <w:sz w:val="18"/>
        </w:rPr>
        <w:t>https://pubmed.ncbi.nlm.nih.gov/42879808/</w:t>
      </w:r>
    </w:p>
    <w:p>
      <w:pPr>
        <w:pStyle w:val="Heading1"/>
      </w:pPr>
      <w:r>
        <w:t>Aufgenommen am 20.10.2026</w:t>
      </w:r>
    </w:p>
    <w:p>
      <w:pPr>
        <w:pStyle w:val="Heading2"/>
      </w:pPr>
      <w:r>
        <w:t>Kosteneffektivität der RSV-mRNA-Impfung für Ältere in Italien</w:t>
      </w:r>
    </w:p>
    <w:p>
      <w:r>
        <w:rPr>
          <w:i/>
          <w:color w:val="666666"/>
          <w:sz w:val="18"/>
        </w:rPr>
        <w:t>Dronova M et al.  ·  J Med Econ  ·  19.10.2026  ·  PMID 42895511</w:t>
      </w:r>
    </w:p>
    <w:p>
      <w:r>
        <w:t>Health-Technology-Assessment mit Entscheidungsmodell zur RSV-Impfung (mRNA-1345, Einzeldosis) gegenüber Nichtimpfung bei Italienern ≥60 Jahren mit chronischen Erkrankungen und allen ≥75-Jährigen über 5 Jahre.</w:t>
      </w:r>
    </w:p>
    <w:p>
      <w:r>
        <w:rPr>
          <w:b/>
        </w:rPr>
        <w:t xml:space="preserve">Ergebnis: </w:t>
      </w:r>
      <w:r>
        <w:t>RSV-Impfung hätte über 5 Jahre 19.800 Krankenhauseinweisungen, 6.000 Todesfälle und 212.000 Antibiotikaverordnungen verhindert. Inkrementelle Kosten: 1.143 Mio. €, Gesundheitsgewinn: 47.477 QALYs, ICER 24.078 €/QALY (unterhalb der Kostenschwelle von 33.000–40.000 €/QALY). Ergebnis robust in Sensitivitätsanalysen.</w:t>
      </w:r>
    </w:p>
    <w:p>
      <w:r>
        <w:rPr>
          <w:b/>
          <w:sz w:val="19"/>
        </w:rPr>
        <w:t xml:space="preserve">Übertragbarkeit: </w:t>
      </w:r>
      <w:r>
        <w:rPr>
          <w:sz w:val="19"/>
        </w:rPr>
        <w:t>Italien, Sozialversicherungssystem, vergleichbar mit deutschem System.</w:t>
      </w:r>
    </w:p>
    <w:p>
      <w:r>
        <w:rPr>
          <w:color w:val="5A7D3A"/>
          <w:sz w:val="18"/>
        </w:rPr>
        <w:t>https://pubmed.ncbi.nlm.nih.gov/42895511/</w:t>
      </w:r>
    </w:p>
    <w:p>
      <w:pPr>
        <w:pStyle w:val="Heading2"/>
      </w:pPr>
      <w:r>
        <w:t>CAR-T-Kinetik und Tumormerkmale sagen Therapieerfolg bei B-Zell-Lymphomen voraus</w:t>
      </w:r>
    </w:p>
    <w:p>
      <w:r>
        <w:rPr>
          <w:i/>
          <w:color w:val="666666"/>
          <w:sz w:val="18"/>
        </w:rPr>
        <w:t>Schadt J et al.  ·  Front Immunol  ·  02.10.2026  ·  PMID 42890243</w:t>
      </w:r>
    </w:p>
    <w:p>
      <w:r>
        <w:t>Prospektive Studie mit 92 B-Zell-Patienten unter CAR-T-Therapie in Dresden; mechanistisches Modell der CAR-T- und Tumor-Interaktion zur Vorhersage von Rückfällen.</w:t>
      </w:r>
    </w:p>
    <w:p>
      <w:r>
        <w:rPr>
          <w:b/>
        </w:rPr>
        <w:t xml:space="preserve">Ergebnis: </w:t>
      </w:r>
      <w:r>
        <w:t>Vier Phasen der CAR-T-Kinetik identifiziert (Verteilung, Expansion, Kontraktion, Persistenz). Schwache Expansion oder tiefe Kontraktion sind Rückfallzeichen. Das Modell erklärt individuelle Kinetik, scheitert aber bei Outcome-Prognose mit einheitlichen Tumorparametern. Gleiche CAR-T-Dynamik kann aus unterschiedlichen Tumorfaktoren resultieren; Blutmarker wie LDH oder Ann-Arbor-Score helfen nicht zur Risikostratifizierung.</w:t>
      </w:r>
    </w:p>
    <w:p>
      <w:r>
        <w:rPr>
          <w:b/>
          <w:sz w:val="19"/>
        </w:rPr>
        <w:t xml:space="preserve">Übertragbarkeit: </w:t>
      </w:r>
      <w:r>
        <w:rPr>
          <w:sz w:val="19"/>
        </w:rPr>
        <w:t>Deutschland, einzelne Universitätsklinik, begrenzte Übertragbarkeit auf Routineversorgung.</w:t>
      </w:r>
    </w:p>
    <w:p>
      <w:r>
        <w:rPr>
          <w:color w:val="5A7D3A"/>
          <w:sz w:val="18"/>
        </w:rPr>
        <w:t>https://pubmed.ncbi.nlm.nih.gov/42890243/</w:t>
      </w:r>
    </w:p>
    <w:p>
      <w:pPr>
        <w:pStyle w:val="Heading2"/>
      </w:pPr>
      <w:r>
        <w:t>RSV-Impfeffektivität bei älteren Erwachsenen mit Immunsuppression: Dänische Praxisstudie</w:t>
      </w:r>
    </w:p>
    <w:p>
      <w:r>
        <w:rPr>
          <w:i/>
          <w:color w:val="666666"/>
          <w:sz w:val="18"/>
        </w:rPr>
        <w:t>Reimer Jensen AM et al.  ·  Lancet Healthy Longev  ·  06.10.2026  ·  PMID 42838078</w:t>
      </w:r>
    </w:p>
    <w:p>
      <w:r>
        <w:t>Pragmatische randomisierte Studie in Dänemark (November-Dezember 2024) zur Wirksamkeit einer RSV-Prefusion-F-Impfung bei Erwachsenen ≥60 Jahren mit und ohne Immunsuppression.</w:t>
      </w:r>
    </w:p>
    <w:p>
      <w:r>
        <w:rPr>
          <w:b/>
        </w:rPr>
        <w:t xml:space="preserve">Ergebnis: </w:t>
      </w:r>
      <w:r>
        <w:t>Bei 131.276 Teilnehmern zeigte sich insgesamt eine Impfeffektivität von 83,3% (95%-KI 42,9–96,9) gegen RSV-bedingte Krankenhauseinweisungen. Bei Immunsupprimierten (n=5.199) lag die Effektivität bei 60,5% (95%-KI -141,4–96,2), bei nicht Immunsupprimierten bei 92,3% (95%-KI 48,7–99,8); kein signifikanter Unterschied zwischen Gruppen (p=0,22). Immunsupprimierte hatten neunfach höhere Erkrankungsrate ohne Impfung (4,68 vs. 0,50 pro 1000 Personenjahre).</w:t>
      </w:r>
    </w:p>
    <w:p>
      <w:r>
        <w:rPr>
          <w:b/>
          <w:sz w:val="19"/>
        </w:rPr>
        <w:t xml:space="preserve">Übertragbarkeit: </w:t>
      </w:r>
      <w:r>
        <w:rPr>
          <w:sz w:val="19"/>
        </w:rPr>
        <w:t>Skandinavien, nationale Registerdaten, vergleichbare Struktur zu deutschen Krankenhauserfassungen.</w:t>
      </w:r>
    </w:p>
    <w:p>
      <w:r>
        <w:rPr>
          <w:color w:val="5A7D3A"/>
          <w:sz w:val="18"/>
        </w:rPr>
        <w:t>https://pubmed.ncbi.nlm.nih.gov/42838078/</w:t>
      </w:r>
    </w:p>
    <w:p>
      <w:pPr>
        <w:pStyle w:val="Heading2"/>
      </w:pPr>
      <w:r>
        <w:t>CAR-T vs. autologe Stammzelltransplantation bei Lymphom: deutsche Kostenstudie</w:t>
      </w:r>
    </w:p>
    <w:p>
      <w:r>
        <w:rPr>
          <w:i/>
          <w:color w:val="666666"/>
          <w:sz w:val="18"/>
        </w:rPr>
        <w:t>Froitzheim AC et al.  ·  J Cancer Res Clin Oncol  ·  30.09.2026  ·  PMID 42823558</w:t>
      </w:r>
    </w:p>
    <w:p>
      <w:r>
        <w:t>Zweistufige Analyse deutscher Krankenversicherungsdaten (2020–2023) und stationärer Aufnahmen zu Kosten und Nutzung von CAR-T vs. autologe Stammzelltransplantation bei DLBCL.</w:t>
      </w:r>
    </w:p>
    <w:p>
      <w:r>
        <w:rPr>
          <w:b/>
        </w:rPr>
        <w:t xml:space="preserve">Ergebnis: </w:t>
      </w:r>
      <w:r>
        <w:t>12 CAR-T vs. 59 autoSCT: Initiale Regime-Kosten 61.703 € (CAR-T) vs. 55.802 € (autoSCT); Folgekosten 44.832 € vs. 69.453 €. Stationär: durchschnittliche Verweildauer vergleichbar (27,3 vs. 27,8 Tage), CAR-T günstiger (13.991 € vs. 29.432 €). Unerwünschte Ereignisse: B-Zell-Aplasie/Neutropenie häufiger bei CAR-T (77% vs. 64%).</w:t>
      </w:r>
    </w:p>
    <w:p>
      <w:r>
        <w:rPr>
          <w:b/>
          <w:sz w:val="19"/>
        </w:rPr>
        <w:t xml:space="preserve">Übertragbarkeit: </w:t>
      </w:r>
      <w:r>
        <w:rPr>
          <w:sz w:val="19"/>
        </w:rPr>
        <w:t>Deutschland, Abrechnungsdaten Krankenkassen und DRG-Statistik, vollständig übertragbar.</w:t>
      </w:r>
    </w:p>
    <w:p>
      <w:r>
        <w:rPr>
          <w:color w:val="5A7D3A"/>
          <w:sz w:val="18"/>
        </w:rPr>
        <w:t>https://pubmed.ncbi.nlm.nih.gov/42823558/</w:t>
      </w:r>
    </w:p>
    <w:p>
      <w:pPr>
        <w:pStyle w:val="Heading2"/>
      </w:pPr>
      <w:r>
        <w:t>Deutsche Rheumatologen bewerten CAR-T und T-cell engager kritisch</w:t>
      </w:r>
    </w:p>
    <w:p>
      <w:r>
        <w:rPr>
          <w:i/>
          <w:color w:val="666666"/>
          <w:sz w:val="18"/>
        </w:rPr>
        <w:t>Meinecke A et al.  ·  Rheumatol Int  ·  26.09.2026  ·  PMID 42799770</w:t>
      </w:r>
    </w:p>
    <w:p>
      <w:r>
        <w:t>Web-basierte Befragung von 98 deutschen Rheumatologen (Median 43 Jahre, 46,3% universitär tätig) zu Wissen, Haltung und Barrieren gegenüber T-Zell-umgerichteten Therapien (TCRTs).</w:t>
      </w:r>
    </w:p>
    <w:p>
      <w:r>
        <w:rPr>
          <w:b/>
        </w:rPr>
        <w:t xml:space="preserve">Ergebnis: </w:t>
      </w:r>
      <w:r>
        <w:t>94,8% verweisen gerne an spezialisierte Zentren, halten aber nur 5% ihrer Patienten für geeignet (schwere, therapierefraktäre Bindegewebserkrankungen). Hauptbarrieren: hohe Kosten (82%), begrenzte klinische Erfahrung (65,5%), Anwendbarkeit auf wenige Patienten (35,4%). Sicherheitswissen gut, Selbsteinschätzung des TCRT-Wissens aber nur Median 4,86/10 Punkte.</w:t>
      </w:r>
    </w:p>
    <w:p>
      <w:r>
        <w:rPr>
          <w:b/>
          <w:sz w:val="19"/>
        </w:rPr>
        <w:t xml:space="preserve">Übertragbarkeit: </w:t>
      </w:r>
      <w:r>
        <w:rPr>
          <w:sz w:val="19"/>
        </w:rPr>
        <w:t>Deutschland, nationale Fachgesellschaft, direkt repräsentativ für deutsche Rheumatologie.</w:t>
      </w:r>
    </w:p>
    <w:p>
      <w:r>
        <w:rPr>
          <w:color w:val="5A7D3A"/>
          <w:sz w:val="18"/>
        </w:rPr>
        <w:t>https://pubmed.ncbi.nlm.nih.gov/42799770/</w:t>
      </w:r>
    </w:p>
    <w:p>
      <w:pPr>
        <w:pStyle w:val="Heading2"/>
      </w:pPr>
      <w:r>
        <w:t>Basale B-Zellzahl und IL-6 sagen Zytokinfreisetzungssyndrom nach CAR-T voraus</w:t>
      </w:r>
    </w:p>
    <w:p>
      <w:r>
        <w:rPr>
          <w:i/>
          <w:color w:val="666666"/>
          <w:sz w:val="18"/>
        </w:rPr>
        <w:t>Chan SCW et al.  ·  Lancet Rheumatol  ·  25.09.2026  ·  PMID 42790438</w:t>
      </w:r>
    </w:p>
    <w:p>
      <w:r>
        <w:t>Retrospektive Kohortenstudie an 6 deutschen und 1 chinesischen Zentrum mit 108 Autoimmunpatienten unter autologer CAR-T-Therapie (CD19-Zielzellen); Identifikation von Biomarkern für Cytokine-Release-Syndrome (CRS).</w:t>
      </w:r>
    </w:p>
    <w:p>
      <w:r>
        <w:rPr>
          <w:b/>
        </w:rPr>
        <w:t xml:space="preserve">Ergebnis: </w:t>
      </w:r>
      <w:r>
        <w:t>80% (86/108) entwickelten CRS (66% Grad 1, 13% Grad 2, 1% Grad 3). CRS-Patienten hatten signifikant höhere Ausgangs-B-Zellzahlen (43 vs. 6 Zellen/μL, p=0,0002), IL-6 (10 vs. 3 pg/ml, p=0,0003) und CRP (5 vs. 3 mg/L, p=0,042). Multivariates Modell: B-Zellzahl (OR 1,31, 95%-KI 1,06–1,67, p=0,012) und IL-6 (OR 2,28, 95%-KI 1,30–4,65, p=0,0001) prädiktorisch.</w:t>
      </w:r>
    </w:p>
    <w:p>
      <w:r>
        <w:rPr>
          <w:b/>
          <w:sz w:val="19"/>
        </w:rPr>
        <w:t xml:space="preserve">Übertragbarkeit: </w:t>
      </w:r>
      <w:r>
        <w:rPr>
          <w:sz w:val="19"/>
        </w:rPr>
        <w:t>Deutschland, Multizenterstudie, direkt übertragbar auf deutsche CAR-T-Praxis.</w:t>
      </w:r>
    </w:p>
    <w:p>
      <w:r>
        <w:rPr>
          <w:color w:val="5A7D3A"/>
          <w:sz w:val="18"/>
        </w:rPr>
        <w:t>https://pubmed.ncbi.nlm.nih.gov/42790438/</w:t>
      </w:r>
    </w:p>
    <w:p>
      <w:pPr>
        <w:pStyle w:val="Heading1"/>
      </w:pPr>
      <w:r>
        <w:t>Aufgenommen am 19.10.2026</w:t>
      </w:r>
    </w:p>
    <w:p>
      <w:pPr>
        <w:pStyle w:val="Heading2"/>
      </w:pPr>
      <w:r>
        <w:t>Tetanus-Antikörper bei Tumorkindern nach Chemotherapie: Impfung erforderlich</w:t>
      </w:r>
    </w:p>
    <w:p>
      <w:r>
        <w:rPr>
          <w:i/>
          <w:color w:val="666666"/>
          <w:sz w:val="18"/>
        </w:rPr>
        <w:t>Xu YY et al.  ·  Zhonghua Yu Fang Yi Xue Za Zhi  ·  06.10.2026  ·  PMID 42893916</w:t>
      </w:r>
    </w:p>
    <w:p>
      <w:r>
        <w:t>Vergleich der Tetanus-IgG-Antikörperspiegel bei 293 Kindern mit Blutkrebs vor und einen Monat nach Chemotherapie sowie in 293 altersgleichen gesunden Kontrollkindern aus Zhejiang, China.</w:t>
      </w:r>
    </w:p>
    <w:p>
      <w:r>
        <w:rPr>
          <w:b/>
        </w:rPr>
        <w:t xml:space="preserve">Ergebnis: </w:t>
      </w:r>
      <w:r>
        <w:t>Tetanus-IgG-Antikörper nach Chemotherapie sanken signifikant: Seropositiv-Rate von 84,64% (vor Therapie) auf 70,99% (nach Therapie, p&lt;0,001); geometrischer Mittelwert fiel von 1,22±0,17 auf 0,73±0,11 IU/ml (p&lt;0,001). Nach Chemotherapie lagen beide Parameter unter denen der gesunden Kontrollen (84,98% positiv; GMC 1,06±0,06 IU/ml). Schlussfolgerung: Impfung gegen Tetanus ist nach Chemotherapie notwendig.</w:t>
      </w:r>
    </w:p>
    <w:p>
      <w:r>
        <w:rPr>
          <w:b/>
          <w:sz w:val="19"/>
        </w:rPr>
        <w:t xml:space="preserve">Übertragbarkeit: </w:t>
      </w:r>
      <w:r>
        <w:rPr>
          <w:sz w:val="19"/>
        </w:rPr>
        <w:t>China, Pädiatrie-Kohorte; Befund zur Impfindikation bei immunsupprimierten Kindern universal übertragbar.</w:t>
      </w:r>
    </w:p>
    <w:p>
      <w:r>
        <w:rPr>
          <w:color w:val="5A7D3A"/>
          <w:sz w:val="18"/>
        </w:rPr>
        <w:t>https://pubmed.ncbi.nlm.nih.gov/42893916/</w:t>
      </w:r>
    </w:p>
    <w:p>
      <w:pPr>
        <w:pStyle w:val="Heading2"/>
      </w:pPr>
      <w:r>
        <w:t>RSV-Impfung in Schwangerschaft: Impfquote in Sydney stieg von 4 auf 70–74 Prozent in acht Monaten</w:t>
      </w:r>
    </w:p>
    <w:p>
      <w:r>
        <w:rPr>
          <w:i/>
          <w:color w:val="666666"/>
          <w:sz w:val="18"/>
        </w:rPr>
        <w:t>Townshend I et al.  ·  Public Health Res Pract  ·  10.12.2026  ·  PMID 42893694</w:t>
      </w:r>
    </w:p>
    <w:p>
      <w:r>
        <w:t>Beschreibung der Implementierung der RSV-Impfung für Schwangere und des monoklonalen Antikörpers Nirsevimab für Neugeborene in zwei Krankenhäusern der Sydney Local Health District mit Tracking der Impfquoten und dokumentierten Lektionen.</w:t>
      </w:r>
    </w:p>
    <w:p>
      <w:r>
        <w:rPr>
          <w:b/>
        </w:rPr>
        <w:t xml:space="preserve">Ergebnis: </w:t>
      </w:r>
      <w:r>
        <w:t>RSV-Impfquote bei gebärenden Frauen stieg von 4% im Februar 2025 auf 70–74% von Juni bis September 2025. Mit steigender Impfquote bei Müttern sank die Zahl der Neugeborenen, die Nirsevimab benötigten. Von anspruchsberechtigten Neugeborenen lehnten 36% Nirsevimab ab; Ablehnungsgründe wurden nicht dokumentiert. Kritische Erfolgsfaktoren: multidisziplinäre Führung, Nutzung bestehender Schulungsstrukturen und Integration in Dokumentationsabläufe.</w:t>
      </w:r>
    </w:p>
    <w:p>
      <w:r>
        <w:rPr>
          <w:b/>
          <w:sz w:val="19"/>
        </w:rPr>
        <w:t xml:space="preserve">Übertragbarkeit: </w:t>
      </w:r>
      <w:r>
        <w:rPr>
          <w:sz w:val="19"/>
        </w:rPr>
        <w:t>Australien, direkter Transfer auf föderale Rollout-Strukturen begrenzt; Implementierungslektionen für europäische Systeme relevant.</w:t>
      </w:r>
    </w:p>
    <w:p>
      <w:r>
        <w:rPr>
          <w:color w:val="5A7D3A"/>
          <w:sz w:val="18"/>
        </w:rPr>
        <w:t>https://pubmed.ncbi.nlm.nih.gov/42893694/</w:t>
      </w:r>
    </w:p>
    <w:p>
      <w:pPr>
        <w:pStyle w:val="Heading2"/>
      </w:pPr>
      <w:r>
        <w:t>Impfschulung für Gesundheitshelfer erhöht Wissen, nicht Impfbereitschaft</w:t>
      </w:r>
    </w:p>
    <w:p>
      <w:r>
        <w:rPr>
          <w:i/>
          <w:color w:val="666666"/>
          <w:sz w:val="18"/>
        </w:rPr>
        <w:t>Bostan YE  ·  J Eval Clin Pract  ·  Okt. 2026  ·  PMID 42893536</w:t>
      </w:r>
    </w:p>
    <w:p>
      <w:r>
        <w:t>Evaluierung eines vierstündigen Impfschulungsprogramms für 272 türkische Gesundheitshelfer mit Messung von Impfwissen und Vaccine Hesitancy vor und nach dem Training.</w:t>
      </w:r>
    </w:p>
    <w:p>
      <w:r>
        <w:rPr>
          <w:b/>
        </w:rPr>
        <w:t xml:space="preserve">Ergebnis: </w:t>
      </w:r>
      <w:r>
        <w:t>Impfwissen stieg erheblich von 6,77 auf 8,76 von 10 Punkten (dz=1,34, p&lt;0,001); 84,9% der Teilnehmer verbesserten ihre Punktzahl. Vaccine Hesitancy sank statistisch signifikant, aber praktisch unbedeutend um 0,90 Punkte (dz=-0,13, p=0,033), entsprechend nur 1,9% der Skalaspanne; 51,4% zeigten niedrigere, 36,3% höhere Werte nach Training.</w:t>
      </w:r>
    </w:p>
    <w:p>
      <w:r>
        <w:rPr>
          <w:b/>
          <w:sz w:val="19"/>
        </w:rPr>
        <w:t xml:space="preserve">Übertragbarkeit: </w:t>
      </w:r>
      <w:r>
        <w:rPr>
          <w:sz w:val="19"/>
        </w:rPr>
        <w:t>Türkei, ähnliche Herausforderungen bei Vaccine Hesitancy; Design ohne Kontrollgruppe begrenzt Kausalitätsaussagen.</w:t>
      </w:r>
    </w:p>
    <w:p>
      <w:r>
        <w:rPr>
          <w:color w:val="5A7D3A"/>
          <w:sz w:val="18"/>
        </w:rPr>
        <w:t>https://pubmed.ncbi.nlm.nih.gov/42893536/</w:t>
      </w:r>
    </w:p>
    <w:p>
      <w:pPr>
        <w:pStyle w:val="Heading2"/>
      </w:pPr>
      <w:r>
        <w:t>RSV-Impfung in der Schwangerschaft: Laufendes Evidenz-Update geplant</w:t>
      </w:r>
    </w:p>
    <w:p>
      <w:r>
        <w:rPr>
          <w:i/>
          <w:color w:val="666666"/>
          <w:sz w:val="18"/>
        </w:rPr>
        <w:t>Mazzoni A et al.  ·  JMIR Res Protoc  ·  15.10.2026  ·  PMID 42893392</w:t>
      </w:r>
    </w:p>
    <w:p>
      <w:r>
        <w:t>Protokoll für eine kontinuierlich aktualisierte systematische Übersicht und Metaanalyse zur Wirksamkeit, Effektivität und Immunogenität der RSV-PreF-Impfung bei schwangeren Frauen, mit Fokus auf postmarkt-Daten aus der Versorgung.</w:t>
      </w:r>
    </w:p>
    <w:p>
      <w:r>
        <w:rPr>
          <w:b/>
        </w:rPr>
        <w:t xml:space="preserve">Ergebnis: </w:t>
      </w:r>
      <w:r>
        <w:t>Stand Januar 2026: 837 Publikationen gescreent, 105 (12,5%) im Volltext bewertet, 12 (1,4%) erfüllten Einschlusskriterien, 10 (1,2%) lieferten verwertbare Daten. Suche läuft bis mindestens April 2028 mit monatlichen Updates. Erste Effektivitätsschätzungen verfügbar voraussichtlich Juli 2026. Interaktives Dashboard für Echtzeit-Datenzugang geplant.</w:t>
      </w:r>
    </w:p>
    <w:p>
      <w:r>
        <w:rPr>
          <w:b/>
          <w:sz w:val="19"/>
        </w:rPr>
        <w:t xml:space="preserve">Übertragbarkeit: </w:t>
      </w:r>
      <w:r>
        <w:rPr>
          <w:sz w:val="19"/>
        </w:rPr>
        <w:t>Internationale Zusammensetzung (Argentinien, USA, Tulane); Ergebnisse gelten für alle Länder mit RSV-Impfprogrammen.</w:t>
      </w:r>
    </w:p>
    <w:p>
      <w:r>
        <w:rPr>
          <w:color w:val="5A7D3A"/>
          <w:sz w:val="18"/>
        </w:rPr>
        <w:t>https://pubmed.ncbi.nlm.nih.gov/42893392/</w:t>
      </w:r>
    </w:p>
    <w:p>
      <w:pPr>
        <w:pStyle w:val="Heading2"/>
      </w:pPr>
      <w:r>
        <w:t>Atemwegsimpfungen für Erwachsene: Kosten-Nutzen-Analyse mit 11:1 Rendite</w:t>
      </w:r>
    </w:p>
    <w:p>
      <w:r>
        <w:rPr>
          <w:i/>
          <w:color w:val="666666"/>
          <w:sz w:val="18"/>
        </w:rPr>
        <w:t>Napier M et al.  ·  Expert Rev Vaccines  ·  17.10.2026  ·  PMID 42892738</w:t>
      </w:r>
    </w:p>
    <w:p>
      <w:r>
        <w:t>Benefit-Cost-Analyse der Impfungen gegen Pneumokokken, RSV, Influenza und COVID-19 bei Erwachsenen in Australien über zehn Jahre aus gesamtgesellschaftlicher Perspektive.</w:t>
      </w:r>
    </w:p>
    <w:p>
      <w:r>
        <w:rPr>
          <w:b/>
        </w:rPr>
        <w:t xml:space="preserve">Ergebnis: </w:t>
      </w:r>
      <w:r>
        <w:t>Impfprogramme generierten einen Nutzen-Kosten-Verhältnis von 11,24:1 (mit Lebenswertwertschätzung) bzw. 5,69:1 (mit Lebensjahreswert), verhinderten 234.187 Hospitalisierungen und 13.890 Todesfälle, mit Nettonutzen von 64,97 Mrd. oder 29,76 Mrd. australischen Dollar.</w:t>
      </w:r>
    </w:p>
    <w:p>
      <w:r>
        <w:rPr>
          <w:b/>
          <w:sz w:val="19"/>
        </w:rPr>
        <w:t xml:space="preserve">Übertragbarkeit: </w:t>
      </w:r>
      <w:r>
        <w:rPr>
          <w:sz w:val="19"/>
        </w:rPr>
        <w:t>Australien, vergleichbares Sozialversicherungssystem; Methodik auf DACH übertragbar.</w:t>
      </w:r>
    </w:p>
    <w:p>
      <w:r>
        <w:rPr>
          <w:color w:val="5A7D3A"/>
          <w:sz w:val="18"/>
        </w:rPr>
        <w:t>https://pubmed.ncbi.nlm.nih.gov/42892738/</w:t>
      </w:r>
    </w:p>
    <w:p>
      <w:pPr>
        <w:pStyle w:val="Heading2"/>
      </w:pPr>
      <w:r>
        <w:t>Typhus-Impfschutz hängt von CD8+-T-Zell-Profilen ab, nicht nur von deren Menge</w:t>
      </w:r>
    </w:p>
    <w:p>
      <w:r>
        <w:rPr>
          <w:i/>
          <w:color w:val="666666"/>
          <w:sz w:val="18"/>
        </w:rPr>
        <w:t>Booth JS et al.  ·  Front Cell Infect Microbiol  ·  02.10.2026  ·  PMID 42890021</w:t>
      </w:r>
    </w:p>
    <w:p>
      <w:r>
        <w:t>Untersuchung von CD8+-T-Zell-Mustern bei 53 Probanden nach Ty21a-Impfung und kontrolierter Exposition gegenüber virulenten Typhi-Bakterien mittels hochdimensionaler Durchflusszytometrie.</w:t>
      </w:r>
    </w:p>
    <w:p>
      <w:r>
        <w:rPr>
          <w:b/>
        </w:rPr>
        <w:t xml:space="preserve">Ergebnis: </w:t>
      </w:r>
      <w:r>
        <w:t>Probanden ohne Typhuserkrankung (NoTD) zeigten distinct multifunktionale, schutzassoziierte CD8+-T-Zell-Programme, während erkrankte Probanden (TD) divergente, anfälligkeitsassoziierte Muster aufwiesen. NoTD-CD8+-T-Zellen waren angereichert mit CXCR3, IL-17A, TNFα und MIP1b; TD-Zellen zeigten CCR6- und α4β7-Bias. Schutz und Anfälligkeit verteilten sich über mehrere CD8+-T-Zell-Subtypen, nicht auf einzelne.</w:t>
      </w:r>
    </w:p>
    <w:p>
      <w:r>
        <w:rPr>
          <w:b/>
          <w:sz w:val="19"/>
        </w:rPr>
        <w:t xml:space="preserve">Übertragbarkeit: </w:t>
      </w:r>
      <w:r>
        <w:rPr>
          <w:sz w:val="19"/>
        </w:rPr>
        <w:t>UK/USA-Studie; Mechanismen gelten universell, Übertragbarkeit auf Impfqualitätskontrolle hoch.</w:t>
      </w:r>
    </w:p>
    <w:p>
      <w:r>
        <w:rPr>
          <w:color w:val="5A7D3A"/>
          <w:sz w:val="18"/>
        </w:rPr>
        <w:t>https://pubmed.ncbi.nlm.nih.gov/42890021/</w:t>
      </w:r>
    </w:p>
    <w:p>
      <w:pPr>
        <w:pStyle w:val="Heading1"/>
      </w:pPr>
      <w:r>
        <w:t>Aufgenommen am 18.10.2026</w:t>
      </w:r>
    </w:p>
    <w:p>
      <w:pPr>
        <w:pStyle w:val="Heading2"/>
      </w:pPr>
      <w:r>
        <w:t>Impfeffektivität im Feld: Biologisches Monitoring statt nur Verwaltungsquoten</w:t>
      </w:r>
    </w:p>
    <w:p>
      <w:r>
        <w:rPr>
          <w:i/>
          <w:color w:val="666666"/>
          <w:sz w:val="18"/>
        </w:rPr>
        <w:t>Adedeji AA et al.  ·  Front Public Health  ·  02.10.2026  ·  PMID 42890904</w:t>
      </w:r>
    </w:p>
    <w:p>
      <w:r>
        <w:t>Konzeptioneller Rahmen für Population-Level Immunologic Monitoring (PLIM) in Ruanda und Ostafrika, um Impfwirksamkeit auf Bevölkerungsebene in Echtzeit zu erfassen – nicht nur Verwaltungsdaten.</w:t>
      </w:r>
    </w:p>
    <w:p>
      <w:r>
        <w:rPr>
          <w:b/>
        </w:rPr>
        <w:t xml:space="preserve">Ergebnis: </w:t>
      </w:r>
      <w:r>
        <w:t>PLIM-Modell integriert drei Säulen: biologische Sentinel-Überwachung (Trockenblutkarten mit ELISA und T-Zell-Aktivierungsassays), Risiko-Stratifizierung und digitales Feedback über DHIS2. Population Immunologic Threshold (PIT) als Komposit-Metrik verbindet individuelle Schutzkorrelate mit Herdenimmunitätsschwellwerten. Modell adressiert ‚biologische Kaltflecken' vor Ausbrüchen; erfordert noch Validierungsstudien vor Implementierung.</w:t>
      </w:r>
    </w:p>
    <w:p>
      <w:r>
        <w:rPr>
          <w:b/>
          <w:sz w:val="19"/>
        </w:rPr>
        <w:t xml:space="preserve">Übertragbarkeit: </w:t>
      </w:r>
      <w:r>
        <w:rPr>
          <w:sz w:val="19"/>
        </w:rPr>
        <w:t>Rwanda-Pilotstudie geplant, auf SSA übertragbar; für Deutschland weniger relevant ohne ähnliche Impfregister-Infrastruktur.</w:t>
      </w:r>
    </w:p>
    <w:p>
      <w:r>
        <w:rPr>
          <w:color w:val="5A7D3A"/>
          <w:sz w:val="18"/>
        </w:rPr>
        <w:t>https://pubmed.ncbi.nlm.nih.gov/42890904/</w:t>
      </w:r>
    </w:p>
    <w:p>
      <w:pPr>
        <w:pStyle w:val="Heading2"/>
      </w:pPr>
      <w:r>
        <w:t>HPV-Impfquoten bei Menschen mit Behinderungen: Barrieren und Ungleichheit</w:t>
      </w:r>
    </w:p>
    <w:p>
      <w:r>
        <w:rPr>
          <w:i/>
          <w:color w:val="666666"/>
          <w:sz w:val="18"/>
        </w:rPr>
        <w:t>Walmsley S et al.  ·  Hum Vaccin Immunother  ·  16.10.2026  ·  PMID 42886011</w:t>
      </w:r>
    </w:p>
    <w:p>
      <w:r>
        <w:t>Scoping Review zur HPV-Impfabdeckung und Zugangsbarrieren für Menschen mit Behinderungen in 33 Studien aus Hocheinkommensländern (2006–2025).</w:t>
      </w:r>
    </w:p>
    <w:p>
      <w:r>
        <w:rPr>
          <w:b/>
        </w:rPr>
        <w:t xml:space="preserve">Ergebnis: </w:t>
      </w:r>
      <w:r>
        <w:t>Konsistente Ungleichheiten in der HPV-Impfquote für Menschen mit Behinderungen dokumentiert. Hauptbarrieren: falsche Annahmen über Sexualverhalten (unvollständig quantifiziert), fehlende Impfempfehlungen von Fachpersonen in klinischen Settings (65 % der Studien berichten dies), Mangel an Personalschulung. Erhebliche Forschungslücken für Menschen mit körperlichen, psychosozialen, Seh- oder Hörstörungen; keine Populationsdaten aus Niedrig-/Mitteleinkommen-Ländern verfügbar.</w:t>
      </w:r>
    </w:p>
    <w:p>
      <w:r>
        <w:rPr>
          <w:b/>
          <w:sz w:val="19"/>
        </w:rPr>
        <w:t xml:space="preserve">Übertragbarkeit: </w:t>
      </w:r>
      <w:r>
        <w:rPr>
          <w:sz w:val="19"/>
        </w:rPr>
        <w:t>Australische und europäische Systeme, aber Barrieren (Fachpersonal, Settings) sind auch in Deutschland relevant.</w:t>
      </w:r>
    </w:p>
    <w:p>
      <w:r>
        <w:rPr>
          <w:color w:val="5A7D3A"/>
          <w:sz w:val="18"/>
        </w:rPr>
        <w:t>https://pubmed.ncbi.nlm.nih.gov/42886011/</w:t>
      </w:r>
    </w:p>
    <w:p>
      <w:pPr>
        <w:pStyle w:val="Heading2"/>
      </w:pPr>
      <w:r>
        <w:t>SARS-CoV-2-Impfschutz in der Bevölkerung: Serologische Querschnittmessung vor Omicron</w:t>
      </w:r>
    </w:p>
    <w:p>
      <w:r>
        <w:rPr>
          <w:i/>
          <w:color w:val="666666"/>
          <w:sz w:val="18"/>
        </w:rPr>
        <w:t>Yang Y et al.  ·  PLoS One  ·  15.10.2026  ·  PMID 42879418</w:t>
      </w:r>
    </w:p>
    <w:p>
      <w:r>
        <w:t>Längsschnittstudie bei 156 Serumproben von 117 Teilnehmern (HIVE-Kohorte) mit Multiplex-Elektrochemilumineszenz (ECL), ACE2-Hemmungsassays und Pseudoviral-Neutralisationstests für Varianten-spezifische IgG (Juli–Dezember 2021).</w:t>
      </w:r>
    </w:p>
    <w:p>
      <w:r>
        <w:rPr>
          <w:b/>
        </w:rPr>
        <w:t xml:space="preserve">Ergebnis: </w:t>
      </w:r>
      <w:r>
        <w:t>Hohe Korrelationen zwischen ECL, ACE2 und PN (0,81–0,95). ROC-Analysen: ECL IgG diskriminiert Impfstatus (AUC 0,84–0,88, Sensitivität 0,88–0,91, Spezifität 0,87–0,88); ACE2 variabler (AUC 0,53–0,96). IgG-Konzentrationen stiegen mit Alter, plateau in frühem Erwachsenenalter; präzise Schätzungen für junge Altersgruppen wegen kleiner Stichproben begrenzt.</w:t>
      </w:r>
    </w:p>
    <w:p>
      <w:r>
        <w:rPr>
          <w:b/>
          <w:sz w:val="19"/>
        </w:rPr>
        <w:t xml:space="preserve">Übertragbarkeit: </w:t>
      </w:r>
      <w:r>
        <w:rPr>
          <w:sz w:val="19"/>
        </w:rPr>
        <w:t>USA-Kohorte; Serologie-Methodik auf Deutschland übertragbar, aber Bevölkerungsdaten kontextabhängig.</w:t>
      </w:r>
    </w:p>
    <w:p>
      <w:r>
        <w:rPr>
          <w:color w:val="5A7D3A"/>
          <w:sz w:val="18"/>
        </w:rPr>
        <w:t>https://pubmed.ncbi.nlm.nih.gov/42879418/</w:t>
      </w:r>
    </w:p>
    <w:p>
      <w:pPr>
        <w:pStyle w:val="Heading2"/>
      </w:pPr>
      <w:r>
        <w:t>CAR-T-Persistenz vorhersagt Ansprechen auf Salvage-Bestrahlung bei lymphomrezidiv</w:t>
      </w:r>
    </w:p>
    <w:p>
      <w:r>
        <w:rPr>
          <w:i/>
          <w:color w:val="666666"/>
          <w:sz w:val="18"/>
        </w:rPr>
        <w:t>Fan J et al.  ·  Acta Oncol  ·  17.09.2026  ·  PMID 42752612</w:t>
      </w:r>
    </w:p>
    <w:p>
      <w:r>
        <w:t>Retrospektive Analyse von 13 DLBCL-Patienten (18 Läsionen), die nach CAR-T-Therapie rezidiviert und eine Salvage-Bestrahlung erhielten, mit CAR-Transgene-Verfolgung.</w:t>
      </w:r>
    </w:p>
    <w:p>
      <w:r>
        <w:rPr>
          <w:b/>
        </w:rPr>
        <w:t xml:space="preserve">Ergebnis: </w:t>
      </w:r>
      <w:r>
        <w:t>Lokales Ansprechrate 83 % (15/18 Läsionen). CAR-Transgene-Muster bei Rezidiv: erhöht (n=4), persistierend &gt;6 Monate (n=4), abnehmend (n=5). Lokales Ansprechrate 100 % bzw. 100 % vs. 57 %; 12-Monats-Kontrolle 83 %, 100 %, 14 %; 12-Monats-Gesamtüberleben 100 %, 100 %, 20 %. Toxizität Grad ≤2. Autoren betonen hypothesengenerierendes Design, Validierung in größeren Kohorten erforderlich.</w:t>
      </w:r>
    </w:p>
    <w:p>
      <w:r>
        <w:rPr>
          <w:b/>
          <w:sz w:val="19"/>
        </w:rPr>
        <w:t xml:space="preserve">Übertragbarkeit: </w:t>
      </w:r>
      <w:r>
        <w:rPr>
          <w:sz w:val="19"/>
        </w:rPr>
        <w:t>Deutsche Klinikdaten (Köln), vergleichbares Universitätssystem.</w:t>
      </w:r>
    </w:p>
    <w:p>
      <w:r>
        <w:rPr>
          <w:color w:val="5A7D3A"/>
          <w:sz w:val="18"/>
        </w:rPr>
        <w:t>https://pubmed.ncbi.nlm.nih.gov/42752612/</w:t>
      </w:r>
    </w:p>
    <w:p>
      <w:pPr>
        <w:pStyle w:val="Heading2"/>
      </w:pPr>
      <w:r>
        <w:t>CD19-CAR-T-Therapie bei therapierefraktärer rheumatoider Arthritis: klinische Machbarkeit</w:t>
      </w:r>
    </w:p>
    <w:p>
      <w:r>
        <w:rPr>
          <w:i/>
          <w:color w:val="666666"/>
          <w:sz w:val="18"/>
        </w:rPr>
        <w:t>Albach FN et al.  ·  Nat Med  ·  27.08.2026  ·  PMID 42661098</w:t>
      </w:r>
    </w:p>
    <w:p>
      <w:r>
        <w:t>Phase-1-Studie zur Sicherheit und Wirksamkeit der autologen CD19-CAR-T-Zelltherapie (mivocabtagene autoleucel) bei 6 Patienten mit schwerer, therapieresistenter anti-CCP-positiver rheumatoider Arthritis.</w:t>
      </w:r>
    </w:p>
    <w:p>
      <w:r>
        <w:rPr>
          <w:b/>
        </w:rPr>
        <w:t xml:space="preserve">Ergebnis: </w:t>
      </w:r>
      <w:r>
        <w:t>Zytokerin-Freisetzungssyndrom (CRS) bei allen 6 Patienten, begrenzt auf Grad 1–2; kein ICANS oder schwere Nebenwirkungen außer einer Grad-3-Transaminase-Elevation (resolviert). Klinisch: Krankheitsaktivität bei allen Patienten verbessert (medianer DAS28-CRP-Rückgang 34 %), ACR-70-Response bei 3/6, Autoantikörper-Serokonversion bei 4–5/6. Arzneimittel-induzierte B-Zell-Depletion mit Persistenz.</w:t>
      </w:r>
    </w:p>
    <w:p>
      <w:r>
        <w:rPr>
          <w:b/>
          <w:sz w:val="19"/>
        </w:rPr>
        <w:t xml:space="preserve">Übertragbarkeit: </w:t>
      </w:r>
      <w:r>
        <w:rPr>
          <w:sz w:val="19"/>
        </w:rPr>
        <w:t>Deutsches Zentrum-Setting (Charité Berlin), deutsche Patienten, Sozialversicherungssystem vergleichbar.</w:t>
      </w:r>
    </w:p>
    <w:p>
      <w:r>
        <w:rPr>
          <w:color w:val="5A7D3A"/>
          <w:sz w:val="18"/>
        </w:rPr>
        <w:t>https://pubmed.ncbi.nlm.nih.gov/42661098/</w:t>
      </w:r>
    </w:p>
    <w:p>
      <w:pPr>
        <w:pStyle w:val="Heading2"/>
      </w:pPr>
      <w:r>
        <w:t>HPV-L2-Vakzine: Schutzwirkung unter Alltagsbedingungen hängt von Prior-Exposition ab</w:t>
      </w:r>
    </w:p>
    <w:p>
      <w:r>
        <w:rPr>
          <w:i/>
          <w:color w:val="666666"/>
          <w:sz w:val="18"/>
        </w:rPr>
        <w:t>Alvarez J et al.  ·  J Virol  ·  22.09.2026  ·  PMID 42627231</w:t>
      </w:r>
    </w:p>
    <w:p>
      <w:r>
        <w:t>Phase-1-Studie bei 20 gesunden Probanden mit AAVLP-HPV-Vakzine (20 μg) zur Immunogenität und Schutzübertragung gegen multiple HPV-Genotypen.</w:t>
      </w:r>
    </w:p>
    <w:p>
      <w:r>
        <w:rPr>
          <w:b/>
        </w:rPr>
        <w:t xml:space="preserve">Ergebnis: </w:t>
      </w:r>
      <w:r>
        <w:t>AAVLP-HPV gut verträglich, induzierte modest L2-spezifische Antikörper, die in-vitro HPV16, HPV31, HPV5 neutralisierten. Nach passivem Serumtransfer in Mäuse: Schutz gegen HPV16, HPV31, HPV5, nicht HPV76. HPV-naive Probanden benötigten 3 Dosen für Schutz, vorher exponierte 2 Dosen mit höheren Titern. Prior-AAV2-Exposition verminderte L2-Neutralisations-Antikörper und Schutz deutlich (Original-Antigenic-Sin-Effekt).</w:t>
      </w:r>
    </w:p>
    <w:p>
      <w:r>
        <w:rPr>
          <w:b/>
          <w:sz w:val="19"/>
        </w:rPr>
        <w:t xml:space="preserve">Übertragbarkeit: </w:t>
      </w:r>
      <w:r>
        <w:rPr>
          <w:sz w:val="19"/>
        </w:rPr>
        <w:t>USA-Studie, Sicherheit transferierbar; Prior-Exposition-Effekte auch in Deutschland relevant.</w:t>
      </w:r>
    </w:p>
    <w:p>
      <w:r>
        <w:rPr>
          <w:color w:val="5A7D3A"/>
          <w:sz w:val="18"/>
        </w:rPr>
        <w:t>https://pubmed.ncbi.nlm.nih.gov/42627231/</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